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39AE" w14:textId="77777777" w:rsidR="002F73E7" w:rsidRDefault="00DC37D9" w:rsidP="008C287C">
      <w:pPr>
        <w:spacing w:after="0"/>
        <w:jc w:val="center"/>
        <w:rPr>
          <w:rFonts w:cs="Times New Roman"/>
          <w:b/>
          <w:sz w:val="40"/>
          <w:szCs w:val="40"/>
        </w:rPr>
      </w:pPr>
      <w:r>
        <w:rPr>
          <w:noProof/>
          <w:lang w:eastAsia="en-GB"/>
        </w:rPr>
        <mc:AlternateContent>
          <mc:Choice Requires="wps">
            <w:drawing>
              <wp:anchor distT="0" distB="0" distL="114300" distR="114300" simplePos="0" relativeHeight="251661312" behindDoc="0" locked="0" layoutInCell="1" allowOverlap="1" wp14:anchorId="4883A1B2" wp14:editId="7CDF0C31">
                <wp:simplePos x="0" y="0"/>
                <wp:positionH relativeFrom="margin">
                  <wp:align>center</wp:align>
                </wp:positionH>
                <wp:positionV relativeFrom="paragraph">
                  <wp:posOffset>-704850</wp:posOffset>
                </wp:positionV>
                <wp:extent cx="5229225" cy="91440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accent6">
                            <a:lumMod val="60000"/>
                            <a:lumOff val="40000"/>
                          </a:schemeClr>
                        </a:solidFill>
                        <a:ln w="12700">
                          <a:solidFill>
                            <a:schemeClr val="accent1"/>
                          </a:solidFill>
                        </a:ln>
                        <a:effectLst/>
                      </wps:spPr>
                      <wps:txbx>
                        <w:txbxContent>
                          <w:p w14:paraId="2217660D" w14:textId="77777777" w:rsidR="00DC37D9" w:rsidRPr="00016376" w:rsidRDefault="00016376"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C73D6"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 MOOR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83A1B2" id="_x0000_t202" coordsize="21600,21600" o:spt="202" path="m,l,21600r21600,l21600,xe">
                <v:stroke joinstyle="miter"/>
                <v:path gradientshapeok="t" o:connecttype="rect"/>
              </v:shapetype>
              <v:shape id="Text Box 1" o:spid="_x0000_s1026" type="#_x0000_t202" style="position:absolute;left:0;text-align:left;margin-left:0;margin-top:-55.5pt;width:411.75pt;height:1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lWZgIAAPMEAAAOAAAAZHJzL2Uyb0RvYy54bWysVMlu2zAQvRfoPxC8N7KFLI0ROXATuCiQ&#10;JgGSImeaomIBJIclaUvp1/eRkh037aEo6gPNWTjLmze6uOyNZlvlQ0u24tOjCWfKSqpb+1zxb4/L&#10;Dx85C1HYWmiyquIvKvDL+ft3F52bqZLWpGvlGYLYMOtcxdcxullRBLlWRoQjcsrC2JA3IkL0z0Xt&#10;RYfoRhflZHJadORr50mqEKC9Hox8nuM3jZLxrmmCikxXHLXFfPp8rtJZzC/E7NkLt27lWIb4hyqM&#10;aC2S7kNdiyjYxre/hTKt9BSoiUeSTEFN00qVe0A308mbbh7WwqncC8AJbg9T+H9h5e323rO2xuw4&#10;s8JgRI+qj+wT9Wya0OlcmMHpwcEt9lAnz1EfoExN94036R/tMNiB88se2xRMQnlSludlecKZhO18&#10;enw8yeAXr6+dD/GzIsPSpeIes8uQiu1NiMgI151LShZIt/Wy1ToLiS/qSnu2FZi0kFLZeJqf6435&#10;SvWgP53gN8wcajBjUKOWfTWZeSlSTvhLEm1Zh+7LMzj/XQUZKdR9EAaStum1yuwcW0soD2imW+xX&#10;/QjxiuoXIO9pYG5wctkCnhsR4r3woCrAxvrFOxyNJtRH442zNfkff9InfzAIVs46UL/i4ftGeMWZ&#10;/mLBrTwd7EoWjk/OSuTwh5bVocVuzBUBc/AH1eVr8o96d208mSds6SJlhUlYidwVj7vrVRwWElsu&#10;1WKRnbAdTsQb++BkCp0AS8N/7J+EdyNDIrh1S7slEbM3RBl886DcYhNp2WYWJYAHVDHhJGCz8qzH&#10;r0Ba3UM5e71+q+Y/AQAA//8DAFBLAwQUAAYACAAAACEAA1vt1N8AAAAIAQAADwAAAGRycy9kb3du&#10;cmV2LnhtbEyPzU7DMBCE70i8g7VIXFDr/AAqIU6FKnHgAFILQhwde4mjxHawnTa8PcsJbrOa1cw3&#10;9XaxIztiiL13AvJ1Bgyd8rp3nYC318fVBlhM0mk5eocCvjHCtjk/q2Wl/cnt8XhIHaMQFyspwKQ0&#10;VZxHZdDKuPYTOvI+fbAy0Rk6roM8UbgdeZFlt9zK3lGDkRPuDKrhMFsBd23xMqjwpNKg5q/33ceV&#10;uX5GIS4vlod7YAmX9PcMv/iEDg0xtX52OrJRAA1JAlZ5npMif1OUN8BaAWWZAW9q/n9A8wMAAP//&#10;AwBQSwECLQAUAAYACAAAACEAtoM4kv4AAADhAQAAEwAAAAAAAAAAAAAAAAAAAAAAW0NvbnRlbnRf&#10;VHlwZXNdLnhtbFBLAQItABQABgAIAAAAIQA4/SH/1gAAAJQBAAALAAAAAAAAAAAAAAAAAC8BAABf&#10;cmVscy8ucmVsc1BLAQItABQABgAIAAAAIQCMPzlWZgIAAPMEAAAOAAAAAAAAAAAAAAAAAC4CAABk&#10;cnMvZTJvRG9jLnhtbFBLAQItABQABgAIAAAAIQADW+3U3wAAAAgBAAAPAAAAAAAAAAAAAAAAAMAE&#10;AABkcnMvZG93bnJldi54bWxQSwUGAAAAAAQABADzAAAAzAUAAAAA&#10;" fillcolor="#a8d08d [1945]" strokecolor="#5b9bd5 [3204]" strokeweight="1pt">
                <v:textbox style="mso-fit-shape-to-text:t">
                  <w:txbxContent>
                    <w:p w14:paraId="2217660D" w14:textId="77777777" w:rsidR="00DC37D9" w:rsidRPr="00016376" w:rsidRDefault="00016376"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C73D6"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 MOOR ESTATE</w:t>
                      </w:r>
                    </w:p>
                  </w:txbxContent>
                </v:textbox>
                <w10:wrap anchorx="margin"/>
              </v:shape>
            </w:pict>
          </mc:Fallback>
        </mc:AlternateContent>
      </w:r>
      <w:r w:rsidR="00DC5026">
        <w:rPr>
          <w:rFonts w:cs="Times New Roman"/>
          <w:b/>
          <w:sz w:val="72"/>
          <w:szCs w:val="72"/>
        </w:rPr>
        <w:t>RESERVES AND INVESTMENT POLICY</w:t>
      </w:r>
    </w:p>
    <w:p w14:paraId="76B2CF3F" w14:textId="77777777" w:rsidR="008C287C" w:rsidRDefault="00DC5026" w:rsidP="008C287C">
      <w:pPr>
        <w:pStyle w:val="ListParagraph"/>
        <w:numPr>
          <w:ilvl w:val="0"/>
          <w:numId w:val="12"/>
        </w:numPr>
        <w:spacing w:before="240" w:after="0"/>
        <w:rPr>
          <w:rFonts w:ascii="Times New Roman" w:hAnsi="Times New Roman" w:cs="Times New Roman"/>
          <w:b/>
          <w:sz w:val="28"/>
          <w:szCs w:val="28"/>
          <w:u w:val="single"/>
        </w:rPr>
      </w:pPr>
      <w:r w:rsidRPr="008C287C">
        <w:rPr>
          <w:rFonts w:ascii="Times New Roman" w:hAnsi="Times New Roman" w:cs="Times New Roman"/>
          <w:b/>
          <w:sz w:val="28"/>
          <w:szCs w:val="28"/>
          <w:u w:val="single"/>
        </w:rPr>
        <w:t xml:space="preserve">Introduction </w:t>
      </w:r>
    </w:p>
    <w:p w14:paraId="44C58B83" w14:textId="77777777" w:rsidR="00B63375" w:rsidRPr="00B63375" w:rsidRDefault="00B63375" w:rsidP="00B63375">
      <w:pPr>
        <w:spacing w:after="0"/>
        <w:rPr>
          <w:rFonts w:ascii="Times New Roman" w:hAnsi="Times New Roman" w:cs="Times New Roman"/>
          <w:b/>
          <w:sz w:val="24"/>
          <w:szCs w:val="24"/>
        </w:rPr>
      </w:pPr>
    </w:p>
    <w:p w14:paraId="69860285" w14:textId="77777777" w:rsidR="008C287C" w:rsidRDefault="00DC5026" w:rsidP="00B63375">
      <w:pPr>
        <w:spacing w:after="0"/>
        <w:rPr>
          <w:rFonts w:ascii="Times New Roman" w:hAnsi="Times New Roman" w:cs="Times New Roman"/>
          <w:b/>
          <w:sz w:val="28"/>
          <w:szCs w:val="28"/>
        </w:rPr>
      </w:pPr>
      <w:r w:rsidRPr="008C287C">
        <w:rPr>
          <w:rFonts w:ascii="Times New Roman" w:hAnsi="Times New Roman" w:cs="Times New Roman"/>
          <w:b/>
          <w:sz w:val="28"/>
          <w:szCs w:val="28"/>
        </w:rPr>
        <w:t>Charitable Purpose</w:t>
      </w:r>
      <w:r w:rsidR="008C287C">
        <w:rPr>
          <w:rFonts w:ascii="Times New Roman" w:hAnsi="Times New Roman" w:cs="Times New Roman"/>
          <w:b/>
          <w:sz w:val="28"/>
          <w:szCs w:val="28"/>
        </w:rPr>
        <w:t xml:space="preserve"> </w:t>
      </w:r>
    </w:p>
    <w:p w14:paraId="551B91AA" w14:textId="77777777" w:rsidR="008C287C" w:rsidRPr="008C287C" w:rsidRDefault="00804714" w:rsidP="00B63375">
      <w:pPr>
        <w:spacing w:after="0"/>
        <w:rPr>
          <w:rFonts w:ascii="Times New Roman" w:hAnsi="Times New Roman" w:cs="Times New Roman"/>
          <w:sz w:val="28"/>
          <w:szCs w:val="28"/>
        </w:rPr>
      </w:pPr>
      <w:r w:rsidRPr="008C287C">
        <w:rPr>
          <w:rFonts w:ascii="Times New Roman" w:hAnsi="Times New Roman" w:cs="Times New Roman"/>
          <w:sz w:val="28"/>
          <w:szCs w:val="28"/>
        </w:rPr>
        <w:t xml:space="preserve">The Trust’s charitable purpose is </w:t>
      </w:r>
      <w:r w:rsidR="00022985" w:rsidRPr="008C287C">
        <w:rPr>
          <w:rFonts w:ascii="Times New Roman" w:hAnsi="Times New Roman" w:cs="Times New Roman"/>
          <w:sz w:val="28"/>
          <w:szCs w:val="28"/>
        </w:rPr>
        <w:t>the general</w:t>
      </w:r>
      <w:r w:rsidRPr="008C287C">
        <w:rPr>
          <w:rFonts w:ascii="Times New Roman" w:hAnsi="Times New Roman" w:cs="Times New Roman"/>
          <w:sz w:val="28"/>
          <w:szCs w:val="28"/>
        </w:rPr>
        <w:t xml:space="preserve"> </w:t>
      </w:r>
      <w:r w:rsidR="00022985" w:rsidRPr="008C287C">
        <w:rPr>
          <w:rFonts w:ascii="Times New Roman" w:hAnsi="Times New Roman" w:cs="Times New Roman"/>
          <w:sz w:val="28"/>
          <w:szCs w:val="28"/>
        </w:rPr>
        <w:t xml:space="preserve">benefit of </w:t>
      </w:r>
      <w:r w:rsidR="0001083E" w:rsidRPr="008C287C">
        <w:rPr>
          <w:rFonts w:ascii="Times New Roman" w:hAnsi="Times New Roman" w:cs="Times New Roman"/>
          <w:sz w:val="28"/>
          <w:szCs w:val="28"/>
        </w:rPr>
        <w:t>the inhabitants of</w:t>
      </w:r>
      <w:r w:rsidR="00022985" w:rsidRPr="008C287C">
        <w:rPr>
          <w:rFonts w:ascii="Times New Roman" w:hAnsi="Times New Roman" w:cs="Times New Roman"/>
          <w:sz w:val="28"/>
          <w:szCs w:val="28"/>
        </w:rPr>
        <w:t xml:space="preserve"> </w:t>
      </w:r>
      <w:r w:rsidRPr="008C287C">
        <w:rPr>
          <w:rFonts w:ascii="Times New Roman" w:hAnsi="Times New Roman" w:cs="Times New Roman"/>
          <w:sz w:val="28"/>
          <w:szCs w:val="28"/>
        </w:rPr>
        <w:t>the area of benefit (</w:t>
      </w:r>
      <w:proofErr w:type="spellStart"/>
      <w:r w:rsidRPr="008C287C">
        <w:rPr>
          <w:rFonts w:ascii="Times New Roman" w:hAnsi="Times New Roman" w:cs="Times New Roman"/>
          <w:sz w:val="28"/>
          <w:szCs w:val="28"/>
        </w:rPr>
        <w:t>ie</w:t>
      </w:r>
      <w:proofErr w:type="spellEnd"/>
      <w:r w:rsidRPr="008C287C">
        <w:rPr>
          <w:rFonts w:ascii="Times New Roman" w:hAnsi="Times New Roman" w:cs="Times New Roman"/>
          <w:sz w:val="28"/>
          <w:szCs w:val="28"/>
        </w:rPr>
        <w:t xml:space="preserve"> Skipton residents)</w:t>
      </w:r>
      <w:r w:rsidR="0033747B" w:rsidRPr="008C287C">
        <w:rPr>
          <w:rFonts w:ascii="Times New Roman" w:hAnsi="Times New Roman" w:cs="Times New Roman"/>
          <w:sz w:val="28"/>
          <w:szCs w:val="28"/>
        </w:rPr>
        <w:t>.</w:t>
      </w:r>
      <w:r w:rsidRPr="008C287C">
        <w:rPr>
          <w:rFonts w:ascii="Times New Roman" w:hAnsi="Times New Roman" w:cs="Times New Roman"/>
          <w:sz w:val="28"/>
          <w:szCs w:val="28"/>
        </w:rPr>
        <w:t xml:space="preserve">  </w:t>
      </w:r>
    </w:p>
    <w:p w14:paraId="1DB00F6F" w14:textId="77777777" w:rsidR="008C287C" w:rsidRDefault="008C287C" w:rsidP="00B63375">
      <w:pPr>
        <w:spacing w:after="0"/>
        <w:rPr>
          <w:rFonts w:ascii="Times New Roman" w:hAnsi="Times New Roman" w:cs="Times New Roman"/>
          <w:b/>
          <w:sz w:val="28"/>
          <w:szCs w:val="28"/>
        </w:rPr>
      </w:pPr>
      <w:r w:rsidRPr="008C287C">
        <w:rPr>
          <w:rFonts w:ascii="Times New Roman" w:hAnsi="Times New Roman" w:cs="Times New Roman"/>
          <w:b/>
          <w:sz w:val="28"/>
          <w:szCs w:val="28"/>
        </w:rPr>
        <w:t>Investment Approach</w:t>
      </w:r>
      <w:r>
        <w:rPr>
          <w:rFonts w:ascii="Times New Roman" w:hAnsi="Times New Roman" w:cs="Times New Roman"/>
          <w:b/>
          <w:sz w:val="28"/>
          <w:szCs w:val="28"/>
        </w:rPr>
        <w:t xml:space="preserve"> </w:t>
      </w:r>
    </w:p>
    <w:p w14:paraId="064CE5A7" w14:textId="77777777" w:rsidR="008C287C" w:rsidRDefault="00DC5026" w:rsidP="00B63375">
      <w:pPr>
        <w:spacing w:after="0"/>
        <w:rPr>
          <w:rFonts w:ascii="Times New Roman" w:hAnsi="Times New Roman" w:cs="Times New Roman"/>
          <w:sz w:val="28"/>
          <w:szCs w:val="28"/>
        </w:rPr>
      </w:pPr>
      <w:r w:rsidRPr="008C287C">
        <w:rPr>
          <w:rFonts w:ascii="Times New Roman" w:hAnsi="Times New Roman" w:cs="Times New Roman"/>
          <w:sz w:val="28"/>
          <w:szCs w:val="28"/>
        </w:rPr>
        <w:t xml:space="preserve">The </w:t>
      </w:r>
      <w:r w:rsidR="008C287C" w:rsidRPr="008C287C">
        <w:rPr>
          <w:rFonts w:ascii="Times New Roman" w:hAnsi="Times New Roman" w:cs="Times New Roman"/>
          <w:sz w:val="28"/>
          <w:szCs w:val="28"/>
        </w:rPr>
        <w:t>Trust’s go</w:t>
      </w:r>
      <w:r w:rsidRPr="008C287C">
        <w:rPr>
          <w:rFonts w:ascii="Times New Roman" w:hAnsi="Times New Roman" w:cs="Times New Roman"/>
          <w:sz w:val="28"/>
          <w:szCs w:val="28"/>
        </w:rPr>
        <w:t>verning</w:t>
      </w:r>
      <w:r w:rsidR="008C287C" w:rsidRPr="008C287C">
        <w:rPr>
          <w:rFonts w:ascii="Times New Roman" w:hAnsi="Times New Roman" w:cs="Times New Roman"/>
          <w:sz w:val="28"/>
          <w:szCs w:val="28"/>
        </w:rPr>
        <w:t xml:space="preserve"> document (Scheme dated 8 November 1999)</w:t>
      </w:r>
      <w:r w:rsidRPr="008C287C">
        <w:rPr>
          <w:rFonts w:ascii="Times New Roman" w:hAnsi="Times New Roman" w:cs="Times New Roman"/>
          <w:sz w:val="28"/>
          <w:szCs w:val="28"/>
        </w:rPr>
        <w:t xml:space="preserve"> refers to permanent and expendable endowment; however, according to guidance received from the Charity Commission, and to accord with the charitable objective, all funds are </w:t>
      </w:r>
      <w:r w:rsidR="008C287C" w:rsidRPr="008C287C">
        <w:rPr>
          <w:rFonts w:ascii="Times New Roman" w:hAnsi="Times New Roman" w:cs="Times New Roman"/>
          <w:sz w:val="28"/>
          <w:szCs w:val="28"/>
        </w:rPr>
        <w:t xml:space="preserve">regarded as </w:t>
      </w:r>
      <w:r w:rsidRPr="008C287C">
        <w:rPr>
          <w:rFonts w:ascii="Times New Roman" w:hAnsi="Times New Roman" w:cs="Times New Roman"/>
          <w:sz w:val="28"/>
          <w:szCs w:val="28"/>
        </w:rPr>
        <w:t xml:space="preserve">freely expendable. </w:t>
      </w:r>
    </w:p>
    <w:p w14:paraId="4F12E05A" w14:textId="77777777" w:rsidR="008C287C" w:rsidRDefault="00DC5026" w:rsidP="00B63375">
      <w:pPr>
        <w:spacing w:after="0"/>
        <w:rPr>
          <w:rFonts w:ascii="Times New Roman" w:hAnsi="Times New Roman" w:cs="Times New Roman"/>
          <w:sz w:val="28"/>
          <w:szCs w:val="28"/>
        </w:rPr>
      </w:pPr>
      <w:r w:rsidRPr="008C287C">
        <w:rPr>
          <w:rFonts w:ascii="Times New Roman" w:hAnsi="Times New Roman" w:cs="Times New Roman"/>
          <w:sz w:val="28"/>
          <w:szCs w:val="28"/>
        </w:rPr>
        <w:t xml:space="preserve">Following any disposal of assets, the capital receipts may immediately be spent or, if they cannot be so expended, may be held in cash as income funds for later expenditure, or may be re-invested in alternative income-producing investments, as set out in this Investment Policy.  </w:t>
      </w:r>
    </w:p>
    <w:p w14:paraId="2235CEBD" w14:textId="77777777" w:rsidR="00DC5026" w:rsidRDefault="00DC5026" w:rsidP="00B63375">
      <w:pPr>
        <w:spacing w:after="0"/>
        <w:rPr>
          <w:rFonts w:ascii="Times New Roman" w:hAnsi="Times New Roman" w:cs="Times New Roman"/>
          <w:sz w:val="28"/>
          <w:szCs w:val="28"/>
        </w:rPr>
      </w:pPr>
      <w:r w:rsidRPr="008C287C">
        <w:rPr>
          <w:rFonts w:ascii="Times New Roman" w:hAnsi="Times New Roman" w:cs="Times New Roman"/>
          <w:sz w:val="28"/>
          <w:szCs w:val="28"/>
        </w:rPr>
        <w:t>For the purpose of this policy, a Total Return on Investment approach, as defined in the Trusts (Capital &amp; Income Act 2013), is followed, with the effect that returns from all investments may be spent for the charitable purpose.</w:t>
      </w:r>
    </w:p>
    <w:p w14:paraId="0548EDAC" w14:textId="77777777" w:rsidR="00B63375" w:rsidRDefault="00B63375" w:rsidP="00B63375">
      <w:pPr>
        <w:spacing w:after="0"/>
        <w:rPr>
          <w:rFonts w:ascii="Times New Roman" w:hAnsi="Times New Roman" w:cs="Times New Roman"/>
          <w:sz w:val="28"/>
          <w:szCs w:val="28"/>
        </w:rPr>
      </w:pPr>
    </w:p>
    <w:p w14:paraId="59D29E20" w14:textId="77777777" w:rsidR="00DC5026" w:rsidRDefault="00DC5026" w:rsidP="008C287C">
      <w:pPr>
        <w:pStyle w:val="ListParagraph"/>
        <w:numPr>
          <w:ilvl w:val="0"/>
          <w:numId w:val="12"/>
        </w:numPr>
        <w:spacing w:before="240" w:after="0"/>
        <w:rPr>
          <w:rFonts w:ascii="Times New Roman" w:hAnsi="Times New Roman" w:cs="Times New Roman"/>
          <w:b/>
          <w:sz w:val="28"/>
          <w:szCs w:val="28"/>
          <w:u w:val="single"/>
        </w:rPr>
      </w:pPr>
      <w:r>
        <w:rPr>
          <w:rFonts w:ascii="Times New Roman" w:hAnsi="Times New Roman" w:cs="Times New Roman"/>
          <w:b/>
          <w:sz w:val="28"/>
          <w:szCs w:val="28"/>
          <w:u w:val="single"/>
        </w:rPr>
        <w:t>Reserves Policy</w:t>
      </w:r>
    </w:p>
    <w:p w14:paraId="000905C6" w14:textId="77777777" w:rsidR="008C287C" w:rsidRDefault="008C287C" w:rsidP="008C287C">
      <w:pPr>
        <w:spacing w:after="0"/>
        <w:rPr>
          <w:rFonts w:ascii="Times New Roman" w:hAnsi="Times New Roman" w:cs="Times New Roman"/>
          <w:bCs/>
          <w:sz w:val="28"/>
          <w:szCs w:val="28"/>
        </w:rPr>
      </w:pPr>
    </w:p>
    <w:p w14:paraId="752F2FBA" w14:textId="77777777" w:rsidR="00DC5026" w:rsidRDefault="00DC5026" w:rsidP="008C287C">
      <w:pPr>
        <w:spacing w:after="0"/>
        <w:rPr>
          <w:rFonts w:ascii="Times New Roman" w:hAnsi="Times New Roman" w:cs="Times New Roman"/>
          <w:bCs/>
          <w:sz w:val="28"/>
          <w:szCs w:val="28"/>
        </w:rPr>
      </w:pPr>
      <w:r w:rsidRPr="00DC5026">
        <w:rPr>
          <w:rFonts w:ascii="Times New Roman" w:hAnsi="Times New Roman" w:cs="Times New Roman"/>
          <w:bCs/>
          <w:sz w:val="28"/>
          <w:szCs w:val="28"/>
        </w:rPr>
        <w:t xml:space="preserve">The Trustees aim, on an annual basis, to apply the income of the charity in furtherance of the charitable object and sufficient reserves are held for the purpose of maintaining the </w:t>
      </w:r>
      <w:r>
        <w:rPr>
          <w:rFonts w:ascii="Times New Roman" w:hAnsi="Times New Roman" w:cs="Times New Roman"/>
          <w:bCs/>
          <w:sz w:val="28"/>
          <w:szCs w:val="28"/>
        </w:rPr>
        <w:t xml:space="preserve">Trust’s assets (land and properties) </w:t>
      </w:r>
      <w:r w:rsidRPr="00DC5026">
        <w:rPr>
          <w:rFonts w:ascii="Times New Roman" w:hAnsi="Times New Roman" w:cs="Times New Roman"/>
          <w:bCs/>
          <w:sz w:val="28"/>
          <w:szCs w:val="28"/>
        </w:rPr>
        <w:t>as and when necessary.  </w:t>
      </w:r>
    </w:p>
    <w:p w14:paraId="2E46F89F" w14:textId="77777777" w:rsidR="00DC5026" w:rsidRPr="00DC5026" w:rsidRDefault="00DC5026" w:rsidP="00DC5026">
      <w:pPr>
        <w:rPr>
          <w:rFonts w:ascii="Times New Roman" w:hAnsi="Times New Roman" w:cs="Times New Roman"/>
          <w:sz w:val="28"/>
          <w:szCs w:val="28"/>
          <w:u w:val="single"/>
        </w:rPr>
      </w:pPr>
      <w:r w:rsidRPr="00DC5026">
        <w:rPr>
          <w:rFonts w:ascii="Times New Roman" w:hAnsi="Times New Roman" w:cs="Times New Roman"/>
          <w:bCs/>
          <w:sz w:val="28"/>
          <w:szCs w:val="28"/>
        </w:rPr>
        <w:t xml:space="preserve">Available funds held in reserves, derived from the sale of investments and from unexpended income, may be invested from time to time, as the Trustees may decide, </w:t>
      </w:r>
      <w:r>
        <w:rPr>
          <w:rFonts w:ascii="Times New Roman" w:hAnsi="Times New Roman" w:cs="Times New Roman"/>
          <w:bCs/>
          <w:sz w:val="28"/>
          <w:szCs w:val="28"/>
        </w:rPr>
        <w:t xml:space="preserve">and as set out in the Investment Policy below, </w:t>
      </w:r>
      <w:r w:rsidRPr="00DC5026">
        <w:rPr>
          <w:rFonts w:ascii="Times New Roman" w:hAnsi="Times New Roman" w:cs="Times New Roman"/>
          <w:bCs/>
          <w:sz w:val="28"/>
          <w:szCs w:val="28"/>
        </w:rPr>
        <w:t>for the longer</w:t>
      </w:r>
      <w:r w:rsidR="008C287C">
        <w:rPr>
          <w:rFonts w:ascii="Times New Roman" w:hAnsi="Times New Roman" w:cs="Times New Roman"/>
          <w:bCs/>
          <w:sz w:val="28"/>
          <w:szCs w:val="28"/>
        </w:rPr>
        <w:t>-</w:t>
      </w:r>
      <w:r w:rsidRPr="00DC5026">
        <w:rPr>
          <w:rFonts w:ascii="Times New Roman" w:hAnsi="Times New Roman" w:cs="Times New Roman"/>
          <w:bCs/>
          <w:sz w:val="28"/>
          <w:szCs w:val="28"/>
        </w:rPr>
        <w:t>term provision of a source of i</w:t>
      </w:r>
      <w:r>
        <w:rPr>
          <w:rFonts w:ascii="Times New Roman" w:hAnsi="Times New Roman" w:cs="Times New Roman"/>
          <w:bCs/>
          <w:sz w:val="28"/>
          <w:szCs w:val="28"/>
        </w:rPr>
        <w:t>ncome for grants and donations.</w:t>
      </w:r>
    </w:p>
    <w:p w14:paraId="73BCAB39" w14:textId="77777777" w:rsidR="00DC5026" w:rsidRPr="00DC5026" w:rsidRDefault="00DC5026" w:rsidP="006C2B10">
      <w:pPr>
        <w:pStyle w:val="ListParagraph"/>
        <w:numPr>
          <w:ilvl w:val="0"/>
          <w:numId w:val="12"/>
        </w:numPr>
        <w:spacing w:before="240" w:after="0"/>
        <w:rPr>
          <w:rFonts w:ascii="Times New Roman" w:hAnsi="Times New Roman" w:cs="Times New Roman"/>
          <w:b/>
          <w:sz w:val="28"/>
          <w:szCs w:val="28"/>
          <w:u w:val="single"/>
        </w:rPr>
      </w:pPr>
      <w:r w:rsidRPr="00DC5026">
        <w:rPr>
          <w:rFonts w:ascii="Times New Roman" w:hAnsi="Times New Roman" w:cs="Times New Roman"/>
          <w:b/>
          <w:sz w:val="28"/>
          <w:szCs w:val="28"/>
          <w:u w:val="single"/>
        </w:rPr>
        <w:t>Investment Policy</w:t>
      </w:r>
    </w:p>
    <w:p w14:paraId="2801A424" w14:textId="77777777" w:rsidR="00A57BD6" w:rsidRDefault="00A57BD6" w:rsidP="0033747B">
      <w:pPr>
        <w:spacing w:before="240"/>
        <w:rPr>
          <w:rFonts w:ascii="Times New Roman" w:hAnsi="Times New Roman" w:cs="Times New Roman"/>
          <w:sz w:val="28"/>
          <w:szCs w:val="28"/>
        </w:rPr>
      </w:pPr>
      <w:r>
        <w:rPr>
          <w:rFonts w:ascii="Times New Roman" w:hAnsi="Times New Roman" w:cs="Times New Roman"/>
          <w:sz w:val="28"/>
          <w:szCs w:val="28"/>
        </w:rPr>
        <w:t>On an annual basis, the Trustees will use all reasonable means to spend the income derived from the Trust’s assets in furtherance of the charitable objective.</w:t>
      </w:r>
    </w:p>
    <w:p w14:paraId="6202CB6C" w14:textId="77777777" w:rsidR="00A57BD6" w:rsidRDefault="00804714" w:rsidP="0033747B">
      <w:pPr>
        <w:spacing w:before="240"/>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8C287C">
        <w:rPr>
          <w:rFonts w:ascii="Times New Roman" w:hAnsi="Times New Roman" w:cs="Times New Roman"/>
          <w:sz w:val="28"/>
          <w:szCs w:val="28"/>
        </w:rPr>
        <w:t>aim of this</w:t>
      </w:r>
      <w:r w:rsidR="005B65A9">
        <w:rPr>
          <w:rFonts w:ascii="Times New Roman" w:hAnsi="Times New Roman" w:cs="Times New Roman"/>
          <w:sz w:val="28"/>
          <w:szCs w:val="28"/>
        </w:rPr>
        <w:t xml:space="preserve"> Investment Policy is to</w:t>
      </w:r>
      <w:r w:rsidR="003821E9">
        <w:rPr>
          <w:rFonts w:ascii="Times New Roman" w:hAnsi="Times New Roman" w:cs="Times New Roman"/>
          <w:sz w:val="28"/>
          <w:szCs w:val="28"/>
        </w:rPr>
        <w:t xml:space="preserve"> </w:t>
      </w:r>
      <w:r w:rsidR="00A57BD6">
        <w:rPr>
          <w:rFonts w:ascii="Times New Roman" w:hAnsi="Times New Roman" w:cs="Times New Roman"/>
          <w:sz w:val="28"/>
          <w:szCs w:val="28"/>
        </w:rPr>
        <w:t xml:space="preserve">invest </w:t>
      </w:r>
      <w:r w:rsidR="00C75A3F">
        <w:rPr>
          <w:rFonts w:ascii="Times New Roman" w:hAnsi="Times New Roman" w:cs="Times New Roman"/>
          <w:sz w:val="28"/>
          <w:szCs w:val="28"/>
        </w:rPr>
        <w:t xml:space="preserve">such </w:t>
      </w:r>
      <w:r w:rsidR="00A57BD6">
        <w:rPr>
          <w:rFonts w:ascii="Times New Roman" w:hAnsi="Times New Roman" w:cs="Times New Roman"/>
          <w:sz w:val="28"/>
          <w:szCs w:val="28"/>
        </w:rPr>
        <w:t>reserve funds and annual income as may remain unexpended at the end of each financial year</w:t>
      </w:r>
      <w:r w:rsidR="003821E9">
        <w:rPr>
          <w:rFonts w:ascii="Times New Roman" w:hAnsi="Times New Roman" w:cs="Times New Roman"/>
          <w:sz w:val="28"/>
          <w:szCs w:val="28"/>
        </w:rPr>
        <w:t xml:space="preserve">. </w:t>
      </w:r>
    </w:p>
    <w:p w14:paraId="2042DFFA" w14:textId="77777777" w:rsidR="00CD0DC4" w:rsidRDefault="003821E9" w:rsidP="0033747B">
      <w:pPr>
        <w:spacing w:before="240"/>
        <w:rPr>
          <w:rFonts w:ascii="Times New Roman" w:hAnsi="Times New Roman" w:cs="Times New Roman"/>
          <w:sz w:val="28"/>
          <w:szCs w:val="28"/>
        </w:rPr>
      </w:pPr>
      <w:r>
        <w:rPr>
          <w:rFonts w:ascii="Times New Roman" w:hAnsi="Times New Roman" w:cs="Times New Roman"/>
          <w:sz w:val="28"/>
          <w:szCs w:val="28"/>
        </w:rPr>
        <w:t>The Trustees aim to do this</w:t>
      </w:r>
      <w:r w:rsidR="005B65A9">
        <w:rPr>
          <w:rFonts w:ascii="Times New Roman" w:hAnsi="Times New Roman" w:cs="Times New Roman"/>
          <w:sz w:val="28"/>
          <w:szCs w:val="28"/>
        </w:rPr>
        <w:t xml:space="preserve"> </w:t>
      </w:r>
      <w:r w:rsidR="00804714">
        <w:rPr>
          <w:rFonts w:ascii="Times New Roman" w:hAnsi="Times New Roman" w:cs="Times New Roman"/>
          <w:sz w:val="28"/>
          <w:szCs w:val="28"/>
        </w:rPr>
        <w:t xml:space="preserve">by holding a portfolio of </w:t>
      </w:r>
      <w:r w:rsidR="0008703C">
        <w:rPr>
          <w:rFonts w:ascii="Times New Roman" w:hAnsi="Times New Roman" w:cs="Times New Roman"/>
          <w:sz w:val="28"/>
          <w:szCs w:val="28"/>
        </w:rPr>
        <w:t xml:space="preserve">assets, </w:t>
      </w:r>
      <w:r w:rsidR="00A57BD6">
        <w:rPr>
          <w:rFonts w:ascii="Times New Roman" w:hAnsi="Times New Roman" w:cs="Times New Roman"/>
          <w:sz w:val="28"/>
          <w:szCs w:val="28"/>
        </w:rPr>
        <w:t xml:space="preserve">which will include cash funds available for immediate expenditure on grants and donations, and longer term land and </w:t>
      </w:r>
      <w:r w:rsidR="006C2B10">
        <w:rPr>
          <w:rFonts w:ascii="Times New Roman" w:hAnsi="Times New Roman" w:cs="Times New Roman"/>
          <w:sz w:val="28"/>
          <w:szCs w:val="28"/>
        </w:rPr>
        <w:t>property holdings, most of which will generate</w:t>
      </w:r>
      <w:r w:rsidR="0008703C">
        <w:rPr>
          <w:rFonts w:ascii="Times New Roman" w:hAnsi="Times New Roman" w:cs="Times New Roman"/>
          <w:sz w:val="28"/>
          <w:szCs w:val="28"/>
        </w:rPr>
        <w:t xml:space="preserve"> annual income </w:t>
      </w:r>
      <w:r w:rsidR="006C2B10">
        <w:rPr>
          <w:rFonts w:ascii="Times New Roman" w:hAnsi="Times New Roman" w:cs="Times New Roman"/>
          <w:sz w:val="28"/>
          <w:szCs w:val="28"/>
        </w:rPr>
        <w:t xml:space="preserve">to be made </w:t>
      </w:r>
      <w:r w:rsidR="00A57BD6">
        <w:rPr>
          <w:rFonts w:ascii="Times New Roman" w:hAnsi="Times New Roman" w:cs="Times New Roman"/>
          <w:sz w:val="28"/>
          <w:szCs w:val="28"/>
        </w:rPr>
        <w:t xml:space="preserve">available </w:t>
      </w:r>
      <w:r w:rsidR="006C2B10">
        <w:rPr>
          <w:rFonts w:ascii="Times New Roman" w:hAnsi="Times New Roman" w:cs="Times New Roman"/>
          <w:sz w:val="28"/>
          <w:szCs w:val="28"/>
        </w:rPr>
        <w:t xml:space="preserve">on an ongoing basis for </w:t>
      </w:r>
      <w:r w:rsidR="00804714">
        <w:rPr>
          <w:rFonts w:ascii="Times New Roman" w:hAnsi="Times New Roman" w:cs="Times New Roman"/>
          <w:sz w:val="28"/>
          <w:szCs w:val="28"/>
        </w:rPr>
        <w:t>gran</w:t>
      </w:r>
      <w:r w:rsidR="00936225">
        <w:rPr>
          <w:rFonts w:ascii="Times New Roman" w:hAnsi="Times New Roman" w:cs="Times New Roman"/>
          <w:sz w:val="28"/>
          <w:szCs w:val="28"/>
        </w:rPr>
        <w:t>t</w:t>
      </w:r>
      <w:r w:rsidR="006C2B10">
        <w:rPr>
          <w:rFonts w:ascii="Times New Roman" w:hAnsi="Times New Roman" w:cs="Times New Roman"/>
          <w:sz w:val="28"/>
          <w:szCs w:val="28"/>
        </w:rPr>
        <w:t>s</w:t>
      </w:r>
      <w:r w:rsidR="00936225">
        <w:rPr>
          <w:rFonts w:ascii="Times New Roman" w:hAnsi="Times New Roman" w:cs="Times New Roman"/>
          <w:sz w:val="28"/>
          <w:szCs w:val="28"/>
        </w:rPr>
        <w:t xml:space="preserve"> for the benefit of Skipton residents</w:t>
      </w:r>
      <w:r w:rsidR="006C2B10">
        <w:rPr>
          <w:rFonts w:ascii="Times New Roman" w:hAnsi="Times New Roman" w:cs="Times New Roman"/>
          <w:sz w:val="28"/>
          <w:szCs w:val="28"/>
        </w:rPr>
        <w:t>*</w:t>
      </w:r>
      <w:r w:rsidR="00C75A3F">
        <w:rPr>
          <w:rFonts w:ascii="Times New Roman" w:hAnsi="Times New Roman" w:cs="Times New Roman"/>
          <w:sz w:val="28"/>
          <w:szCs w:val="28"/>
        </w:rPr>
        <w:t>.</w:t>
      </w:r>
    </w:p>
    <w:p w14:paraId="40974952" w14:textId="77777777" w:rsidR="00A57BD6" w:rsidRDefault="00936225" w:rsidP="0033747B">
      <w:pPr>
        <w:spacing w:before="240"/>
        <w:rPr>
          <w:rFonts w:ascii="Times New Roman" w:hAnsi="Times New Roman" w:cs="Times New Roman"/>
          <w:sz w:val="28"/>
          <w:szCs w:val="28"/>
        </w:rPr>
      </w:pPr>
      <w:r>
        <w:rPr>
          <w:rFonts w:ascii="Times New Roman" w:hAnsi="Times New Roman" w:cs="Times New Roman"/>
          <w:sz w:val="28"/>
          <w:szCs w:val="28"/>
        </w:rPr>
        <w:t>The Trustees recognise their duty to use charitable funds reasonably and not to place the funds at risk, and therefore their primary aim in holding assets and investing the charity’s funds is to ensure the security of funds</w:t>
      </w:r>
      <w:r w:rsidR="006C2B10">
        <w:rPr>
          <w:rFonts w:ascii="Times New Roman" w:hAnsi="Times New Roman" w:cs="Times New Roman"/>
          <w:sz w:val="28"/>
          <w:szCs w:val="28"/>
        </w:rPr>
        <w:t xml:space="preserve"> for the continued and future</w:t>
      </w:r>
      <w:r>
        <w:rPr>
          <w:rFonts w:ascii="Times New Roman" w:hAnsi="Times New Roman" w:cs="Times New Roman"/>
          <w:sz w:val="28"/>
          <w:szCs w:val="28"/>
        </w:rPr>
        <w:t xml:space="preserve"> achievement of the charity’s purpose.  F</w:t>
      </w:r>
      <w:r w:rsidR="006C2B10">
        <w:rPr>
          <w:rFonts w:ascii="Times New Roman" w:hAnsi="Times New Roman" w:cs="Times New Roman"/>
          <w:sz w:val="28"/>
          <w:szCs w:val="28"/>
        </w:rPr>
        <w:t>or these</w:t>
      </w:r>
      <w:r>
        <w:rPr>
          <w:rFonts w:ascii="Times New Roman" w:hAnsi="Times New Roman" w:cs="Times New Roman"/>
          <w:sz w:val="28"/>
          <w:szCs w:val="28"/>
        </w:rPr>
        <w:t xml:space="preserve"> reason</w:t>
      </w:r>
      <w:r w:rsidR="006C2B10">
        <w:rPr>
          <w:rFonts w:ascii="Times New Roman" w:hAnsi="Times New Roman" w:cs="Times New Roman"/>
          <w:sz w:val="28"/>
          <w:szCs w:val="28"/>
        </w:rPr>
        <w:t>s</w:t>
      </w:r>
      <w:r>
        <w:rPr>
          <w:rFonts w:ascii="Times New Roman" w:hAnsi="Times New Roman" w:cs="Times New Roman"/>
          <w:sz w:val="28"/>
          <w:szCs w:val="28"/>
        </w:rPr>
        <w:t>, the Trustees have adopted a low-risk investment strategy in which</w:t>
      </w:r>
      <w:r w:rsidR="008C287C">
        <w:rPr>
          <w:rFonts w:ascii="Times New Roman" w:hAnsi="Times New Roman" w:cs="Times New Roman"/>
          <w:sz w:val="28"/>
          <w:szCs w:val="28"/>
        </w:rPr>
        <w:t xml:space="preserve"> land</w:t>
      </w:r>
      <w:r w:rsidR="006C2B10">
        <w:rPr>
          <w:rFonts w:ascii="Times New Roman" w:hAnsi="Times New Roman" w:cs="Times New Roman"/>
          <w:sz w:val="28"/>
          <w:szCs w:val="28"/>
        </w:rPr>
        <w:t xml:space="preserve">, and the </w:t>
      </w:r>
      <w:r w:rsidR="00C75A3F">
        <w:rPr>
          <w:rFonts w:ascii="Times New Roman" w:hAnsi="Times New Roman" w:cs="Times New Roman"/>
          <w:sz w:val="28"/>
          <w:szCs w:val="28"/>
        </w:rPr>
        <w:t xml:space="preserve">cash holdings of annual income </w:t>
      </w:r>
      <w:r w:rsidR="006C2B10">
        <w:rPr>
          <w:rFonts w:ascii="Times New Roman" w:hAnsi="Times New Roman" w:cs="Times New Roman"/>
          <w:sz w:val="28"/>
          <w:szCs w:val="28"/>
        </w:rPr>
        <w:t>derived from it,</w:t>
      </w:r>
      <w:r w:rsidR="00C75A3F">
        <w:rPr>
          <w:rFonts w:ascii="Times New Roman" w:hAnsi="Times New Roman" w:cs="Times New Roman"/>
          <w:sz w:val="28"/>
          <w:szCs w:val="28"/>
        </w:rPr>
        <w:t xml:space="preserve"> are</w:t>
      </w:r>
      <w:r w:rsidR="008C287C">
        <w:rPr>
          <w:rFonts w:ascii="Times New Roman" w:hAnsi="Times New Roman" w:cs="Times New Roman"/>
          <w:sz w:val="28"/>
          <w:szCs w:val="28"/>
        </w:rPr>
        <w:t xml:space="preserve"> </w:t>
      </w:r>
      <w:r>
        <w:rPr>
          <w:rFonts w:ascii="Times New Roman" w:hAnsi="Times New Roman" w:cs="Times New Roman"/>
          <w:sz w:val="28"/>
          <w:szCs w:val="28"/>
        </w:rPr>
        <w:t>regarded as secure and</w:t>
      </w:r>
      <w:r w:rsidR="008C287C">
        <w:rPr>
          <w:rFonts w:ascii="Times New Roman" w:hAnsi="Times New Roman" w:cs="Times New Roman"/>
          <w:sz w:val="28"/>
          <w:szCs w:val="28"/>
        </w:rPr>
        <w:t xml:space="preserve"> appropriate investment vehicle</w:t>
      </w:r>
      <w:r w:rsidR="00C75A3F">
        <w:rPr>
          <w:rFonts w:ascii="Times New Roman" w:hAnsi="Times New Roman" w:cs="Times New Roman"/>
          <w:sz w:val="28"/>
          <w:szCs w:val="28"/>
        </w:rPr>
        <w:t>s</w:t>
      </w:r>
      <w:r w:rsidR="008C287C">
        <w:rPr>
          <w:rFonts w:ascii="Times New Roman" w:hAnsi="Times New Roman" w:cs="Times New Roman"/>
          <w:sz w:val="28"/>
          <w:szCs w:val="28"/>
        </w:rPr>
        <w:t xml:space="preserve"> for the charity.</w:t>
      </w:r>
    </w:p>
    <w:p w14:paraId="06E49DEB" w14:textId="77777777" w:rsidR="006C2B10" w:rsidRPr="0007409A" w:rsidRDefault="006C2B10" w:rsidP="0033747B">
      <w:pPr>
        <w:spacing w:before="240"/>
        <w:rPr>
          <w:rFonts w:ascii="Times New Roman" w:hAnsi="Times New Roman" w:cs="Times New Roman"/>
          <w:i/>
          <w:sz w:val="20"/>
          <w:szCs w:val="20"/>
        </w:rPr>
      </w:pPr>
      <w:r w:rsidRPr="0007409A">
        <w:rPr>
          <w:rFonts w:ascii="Times New Roman" w:hAnsi="Times New Roman" w:cs="Times New Roman"/>
          <w:sz w:val="20"/>
          <w:szCs w:val="20"/>
        </w:rPr>
        <w:t>*</w:t>
      </w:r>
      <w:r w:rsidRPr="0007409A">
        <w:rPr>
          <w:rFonts w:ascii="Times New Roman" w:hAnsi="Times New Roman" w:cs="Times New Roman"/>
          <w:i/>
          <w:sz w:val="20"/>
          <w:szCs w:val="20"/>
        </w:rPr>
        <w:t xml:space="preserve">Note: a small proportion of the land holdings may be </w:t>
      </w:r>
      <w:r w:rsidR="00C75A3F" w:rsidRPr="0007409A">
        <w:rPr>
          <w:rFonts w:ascii="Times New Roman" w:hAnsi="Times New Roman" w:cs="Times New Roman"/>
          <w:i/>
          <w:sz w:val="20"/>
          <w:szCs w:val="20"/>
        </w:rPr>
        <w:t>non-income generating but are</w:t>
      </w:r>
      <w:r w:rsidRPr="0007409A">
        <w:rPr>
          <w:rFonts w:ascii="Times New Roman" w:hAnsi="Times New Roman" w:cs="Times New Roman"/>
          <w:i/>
          <w:sz w:val="20"/>
          <w:szCs w:val="20"/>
        </w:rPr>
        <w:t xml:space="preserve"> he</w:t>
      </w:r>
      <w:r w:rsidR="00C75A3F" w:rsidRPr="0007409A">
        <w:rPr>
          <w:rFonts w:ascii="Times New Roman" w:hAnsi="Times New Roman" w:cs="Times New Roman"/>
          <w:i/>
          <w:sz w:val="20"/>
          <w:szCs w:val="20"/>
        </w:rPr>
        <w:t>ld in furtherance of the charitable object of general benefit where</w:t>
      </w:r>
      <w:r w:rsidRPr="0007409A">
        <w:rPr>
          <w:rFonts w:ascii="Times New Roman" w:hAnsi="Times New Roman" w:cs="Times New Roman"/>
          <w:i/>
          <w:sz w:val="20"/>
          <w:szCs w:val="20"/>
        </w:rPr>
        <w:t xml:space="preserve"> </w:t>
      </w:r>
      <w:r w:rsidR="00C75A3F" w:rsidRPr="0007409A">
        <w:rPr>
          <w:rFonts w:ascii="Times New Roman" w:hAnsi="Times New Roman" w:cs="Times New Roman"/>
          <w:i/>
          <w:sz w:val="20"/>
          <w:szCs w:val="20"/>
        </w:rPr>
        <w:t>small areas of natural woodland and open country are</w:t>
      </w:r>
      <w:r w:rsidRPr="0007409A">
        <w:rPr>
          <w:rFonts w:ascii="Times New Roman" w:hAnsi="Times New Roman" w:cs="Times New Roman"/>
          <w:i/>
          <w:sz w:val="20"/>
          <w:szCs w:val="20"/>
        </w:rPr>
        <w:t xml:space="preserve"> </w:t>
      </w:r>
      <w:r w:rsidR="00C75A3F" w:rsidRPr="0007409A">
        <w:rPr>
          <w:rFonts w:ascii="Times New Roman" w:hAnsi="Times New Roman" w:cs="Times New Roman"/>
          <w:i/>
          <w:sz w:val="20"/>
          <w:szCs w:val="20"/>
        </w:rPr>
        <w:t>preserved and enhanced for the enjoyment of Skipton residents.</w:t>
      </w:r>
    </w:p>
    <w:p w14:paraId="0B8AECA8" w14:textId="0728DB1E" w:rsidR="00804714" w:rsidRPr="006821BE" w:rsidRDefault="00E421AB" w:rsidP="006C2B10">
      <w:pPr>
        <w:pStyle w:val="ListParagraph"/>
        <w:numPr>
          <w:ilvl w:val="0"/>
          <w:numId w:val="12"/>
        </w:numPr>
        <w:spacing w:before="240" w:after="0"/>
        <w:rPr>
          <w:rFonts w:ascii="Times New Roman" w:hAnsi="Times New Roman" w:cs="Times New Roman"/>
          <w:b/>
          <w:sz w:val="20"/>
          <w:szCs w:val="20"/>
        </w:rPr>
      </w:pPr>
      <w:r w:rsidRPr="00E421AB">
        <w:rPr>
          <w:rFonts w:ascii="Times New Roman" w:hAnsi="Times New Roman" w:cs="Times New Roman"/>
          <w:b/>
          <w:sz w:val="28"/>
          <w:szCs w:val="28"/>
          <w:u w:val="single"/>
        </w:rPr>
        <w:t>Current Portfolio</w:t>
      </w:r>
      <w:r w:rsidR="00C32D6C">
        <w:rPr>
          <w:rFonts w:ascii="Times New Roman" w:hAnsi="Times New Roman" w:cs="Times New Roman"/>
          <w:b/>
          <w:sz w:val="28"/>
          <w:szCs w:val="28"/>
          <w:u w:val="single"/>
        </w:rPr>
        <w:t xml:space="preserve"> (</w:t>
      </w:r>
      <w:r w:rsidR="00695493">
        <w:rPr>
          <w:rFonts w:ascii="Times New Roman" w:hAnsi="Times New Roman" w:cs="Times New Roman"/>
          <w:b/>
          <w:sz w:val="28"/>
          <w:szCs w:val="28"/>
          <w:u w:val="single"/>
        </w:rPr>
        <w:t xml:space="preserve">for </w:t>
      </w:r>
      <w:r w:rsidR="00592E92">
        <w:rPr>
          <w:rFonts w:ascii="Times New Roman" w:hAnsi="Times New Roman" w:cs="Times New Roman"/>
          <w:b/>
          <w:sz w:val="28"/>
          <w:szCs w:val="28"/>
          <w:u w:val="single"/>
        </w:rPr>
        <w:t>asset</w:t>
      </w:r>
      <w:r w:rsidR="00695493">
        <w:rPr>
          <w:rFonts w:ascii="Times New Roman" w:hAnsi="Times New Roman" w:cs="Times New Roman"/>
          <w:b/>
          <w:sz w:val="28"/>
          <w:szCs w:val="28"/>
          <w:u w:val="single"/>
        </w:rPr>
        <w:t xml:space="preserve"> values see </w:t>
      </w:r>
      <w:r w:rsidR="000B1188">
        <w:rPr>
          <w:rFonts w:ascii="Times New Roman" w:hAnsi="Times New Roman" w:cs="Times New Roman"/>
          <w:b/>
          <w:sz w:val="28"/>
          <w:szCs w:val="28"/>
          <w:u w:val="single"/>
        </w:rPr>
        <w:t xml:space="preserve">Financial Accounts </w:t>
      </w:r>
      <w:r w:rsidR="00706CFE">
        <w:rPr>
          <w:rFonts w:ascii="Times New Roman" w:hAnsi="Times New Roman" w:cs="Times New Roman"/>
          <w:b/>
          <w:sz w:val="28"/>
          <w:szCs w:val="28"/>
          <w:u w:val="single"/>
        </w:rPr>
        <w:t>on Charity Commission website</w:t>
      </w:r>
      <w:r w:rsidR="001F2C88">
        <w:rPr>
          <w:rFonts w:ascii="Times New Roman" w:hAnsi="Times New Roman" w:cs="Times New Roman"/>
          <w:b/>
          <w:sz w:val="28"/>
          <w:szCs w:val="28"/>
          <w:u w:val="single"/>
        </w:rPr>
        <w:t xml:space="preserve"> </w:t>
      </w:r>
      <w:proofErr w:type="gramStart"/>
      <w:r w:rsidR="001F2C88">
        <w:rPr>
          <w:rFonts w:ascii="Times New Roman" w:hAnsi="Times New Roman" w:cs="Times New Roman"/>
          <w:b/>
          <w:sz w:val="28"/>
          <w:szCs w:val="28"/>
          <w:u w:val="single"/>
        </w:rPr>
        <w:t xml:space="preserve">– </w:t>
      </w:r>
      <w:r w:rsidR="00DA69C2" w:rsidRPr="00DA69C2">
        <w:t xml:space="preserve"> </w:t>
      </w:r>
      <w:r w:rsidR="006821BE" w:rsidRPr="006821BE">
        <w:rPr>
          <w:sz w:val="20"/>
          <w:szCs w:val="20"/>
        </w:rPr>
        <w:t>www.gov.uk/government/organisations/charity-commission</w:t>
      </w:r>
      <w:proofErr w:type="gramEnd"/>
    </w:p>
    <w:p w14:paraId="5BB9742C" w14:textId="77777777" w:rsidR="0022393D" w:rsidRPr="006C2B10" w:rsidRDefault="0022393D" w:rsidP="0022393D">
      <w:pPr>
        <w:pStyle w:val="ListParagraph"/>
        <w:spacing w:before="240" w:after="0"/>
        <w:rPr>
          <w:rFonts w:ascii="Times New Roman" w:hAnsi="Times New Roman" w:cs="Times New Roman"/>
          <w:b/>
          <w:sz w:val="28"/>
          <w:szCs w:val="28"/>
        </w:rPr>
      </w:pPr>
    </w:p>
    <w:p w14:paraId="4D7481C0" w14:textId="77777777" w:rsidR="00E421AB" w:rsidRPr="00C31E12" w:rsidRDefault="00D6224D" w:rsidP="00C31E12">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u w:val="single"/>
        </w:rPr>
        <w:t xml:space="preserve">Assets in Expendable Endowment </w:t>
      </w:r>
      <w:r w:rsidR="005B65A9" w:rsidRPr="00C31E12">
        <w:rPr>
          <w:rFonts w:ascii="Times New Roman" w:hAnsi="Times New Roman" w:cs="Times New Roman"/>
          <w:sz w:val="28"/>
          <w:szCs w:val="28"/>
          <w:u w:val="single"/>
        </w:rPr>
        <w:t>F</w:t>
      </w:r>
      <w:r>
        <w:rPr>
          <w:rFonts w:ascii="Times New Roman" w:hAnsi="Times New Roman" w:cs="Times New Roman"/>
          <w:sz w:val="28"/>
          <w:szCs w:val="28"/>
          <w:u w:val="single"/>
        </w:rPr>
        <w:t>und</w:t>
      </w:r>
    </w:p>
    <w:tbl>
      <w:tblPr>
        <w:tblStyle w:val="TableGrid"/>
        <w:tblW w:w="0" w:type="auto"/>
        <w:tblLook w:val="04A0" w:firstRow="1" w:lastRow="0" w:firstColumn="1" w:lastColumn="0" w:noHBand="0" w:noVBand="1"/>
      </w:tblPr>
      <w:tblGrid>
        <w:gridCol w:w="3148"/>
        <w:gridCol w:w="3510"/>
      </w:tblGrid>
      <w:tr w:rsidR="00B63375" w14:paraId="367E63C6" w14:textId="77777777" w:rsidTr="00B63375">
        <w:tc>
          <w:tcPr>
            <w:tcW w:w="3148" w:type="dxa"/>
          </w:tcPr>
          <w:p w14:paraId="09A27374" w14:textId="77777777" w:rsidR="00B63375" w:rsidRPr="00E421AB" w:rsidRDefault="00B63375" w:rsidP="00804714">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Land/Property </w:t>
            </w:r>
          </w:p>
        </w:tc>
        <w:tc>
          <w:tcPr>
            <w:tcW w:w="3510" w:type="dxa"/>
          </w:tcPr>
          <w:p w14:paraId="3833CE4E" w14:textId="77777777" w:rsidR="00B63375" w:rsidRDefault="00B63375" w:rsidP="00804714">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Cash </w:t>
            </w:r>
          </w:p>
        </w:tc>
      </w:tr>
      <w:tr w:rsidR="00B63375" w14:paraId="212E4E37" w14:textId="77777777" w:rsidTr="00B63375">
        <w:tc>
          <w:tcPr>
            <w:tcW w:w="3148" w:type="dxa"/>
          </w:tcPr>
          <w:p w14:paraId="29C669D0" w14:textId="77777777" w:rsidR="00B63375" w:rsidRPr="00804714" w:rsidRDefault="00B63375" w:rsidP="00B63375">
            <w:pPr>
              <w:rPr>
                <w:rFonts w:ascii="Times New Roman" w:hAnsi="Times New Roman" w:cs="Times New Roman"/>
              </w:rPr>
            </w:pPr>
            <w:r>
              <w:rPr>
                <w:rFonts w:ascii="Times New Roman" w:hAnsi="Times New Roman" w:cs="Times New Roman"/>
              </w:rPr>
              <w:t>Craven Heifer Inn</w:t>
            </w:r>
          </w:p>
        </w:tc>
        <w:tc>
          <w:tcPr>
            <w:tcW w:w="3510" w:type="dxa"/>
          </w:tcPr>
          <w:p w14:paraId="3BD623F5" w14:textId="77777777" w:rsidR="00B63375" w:rsidRPr="00804714" w:rsidRDefault="00B63375" w:rsidP="00B63375">
            <w:pPr>
              <w:rPr>
                <w:rFonts w:ascii="Times New Roman" w:hAnsi="Times New Roman" w:cs="Times New Roman"/>
              </w:rPr>
            </w:pPr>
            <w:r>
              <w:rPr>
                <w:rFonts w:ascii="Times New Roman" w:hAnsi="Times New Roman" w:cs="Times New Roman"/>
              </w:rPr>
              <w:t>Cash Fund: Barclays 1</w:t>
            </w:r>
          </w:p>
        </w:tc>
      </w:tr>
      <w:tr w:rsidR="00B63375" w14:paraId="1394040F" w14:textId="77777777" w:rsidTr="00B63375">
        <w:tc>
          <w:tcPr>
            <w:tcW w:w="3148" w:type="dxa"/>
          </w:tcPr>
          <w:p w14:paraId="087B5027" w14:textId="77777777" w:rsidR="00B63375" w:rsidRPr="00804714" w:rsidRDefault="00B63375" w:rsidP="00B63375">
            <w:pPr>
              <w:rPr>
                <w:rFonts w:ascii="Times New Roman" w:hAnsi="Times New Roman" w:cs="Times New Roman"/>
              </w:rPr>
            </w:pPr>
            <w:r>
              <w:rPr>
                <w:rFonts w:ascii="Times New Roman" w:hAnsi="Times New Roman" w:cs="Times New Roman"/>
              </w:rPr>
              <w:t>Farm land and copses</w:t>
            </w:r>
          </w:p>
        </w:tc>
        <w:tc>
          <w:tcPr>
            <w:tcW w:w="3510" w:type="dxa"/>
          </w:tcPr>
          <w:p w14:paraId="7DBE962C" w14:textId="77777777" w:rsidR="00B63375" w:rsidRDefault="00B63375" w:rsidP="00B63375">
            <w:pPr>
              <w:rPr>
                <w:rFonts w:ascii="Times New Roman" w:hAnsi="Times New Roman" w:cs="Times New Roman"/>
              </w:rPr>
            </w:pPr>
            <w:r>
              <w:rPr>
                <w:rFonts w:ascii="Times New Roman" w:hAnsi="Times New Roman" w:cs="Times New Roman"/>
              </w:rPr>
              <w:t>Cash Fund: Barclays 2</w:t>
            </w:r>
          </w:p>
        </w:tc>
      </w:tr>
      <w:tr w:rsidR="00B63375" w14:paraId="4319C35C" w14:textId="77777777" w:rsidTr="00B63375">
        <w:tc>
          <w:tcPr>
            <w:tcW w:w="3148" w:type="dxa"/>
          </w:tcPr>
          <w:p w14:paraId="306C607B" w14:textId="77777777" w:rsidR="00B63375" w:rsidRPr="00804714" w:rsidRDefault="00B63375" w:rsidP="00B63375">
            <w:pPr>
              <w:rPr>
                <w:rFonts w:ascii="Times New Roman" w:hAnsi="Times New Roman" w:cs="Times New Roman"/>
              </w:rPr>
            </w:pPr>
            <w:r>
              <w:rPr>
                <w:rFonts w:ascii="Times New Roman" w:hAnsi="Times New Roman" w:cs="Times New Roman"/>
              </w:rPr>
              <w:t>Part golf course</w:t>
            </w:r>
          </w:p>
        </w:tc>
        <w:tc>
          <w:tcPr>
            <w:tcW w:w="3510" w:type="dxa"/>
          </w:tcPr>
          <w:p w14:paraId="48BE2EE4" w14:textId="77777777" w:rsidR="00B63375" w:rsidRDefault="00B63375" w:rsidP="00B63375">
            <w:pPr>
              <w:rPr>
                <w:rFonts w:ascii="Times New Roman" w:hAnsi="Times New Roman" w:cs="Times New Roman"/>
              </w:rPr>
            </w:pPr>
            <w:r>
              <w:rPr>
                <w:rFonts w:ascii="Times New Roman" w:hAnsi="Times New Roman" w:cs="Times New Roman"/>
              </w:rPr>
              <w:t>Cash Fund: Barclays 3</w:t>
            </w:r>
          </w:p>
        </w:tc>
      </w:tr>
      <w:tr w:rsidR="00B63375" w14:paraId="1D08D077" w14:textId="77777777" w:rsidTr="00B63375">
        <w:tc>
          <w:tcPr>
            <w:tcW w:w="3148" w:type="dxa"/>
          </w:tcPr>
          <w:p w14:paraId="4E6874CA" w14:textId="77777777" w:rsidR="00B63375" w:rsidRPr="00804714" w:rsidRDefault="00B63375" w:rsidP="00B63375">
            <w:pPr>
              <w:rPr>
                <w:rFonts w:ascii="Times New Roman" w:hAnsi="Times New Roman" w:cs="Times New Roman"/>
              </w:rPr>
            </w:pPr>
            <w:proofErr w:type="spellStart"/>
            <w:r>
              <w:rPr>
                <w:rFonts w:ascii="Times New Roman" w:hAnsi="Times New Roman" w:cs="Times New Roman"/>
              </w:rPr>
              <w:t>Brackenley</w:t>
            </w:r>
            <w:proofErr w:type="spellEnd"/>
            <w:r>
              <w:rPr>
                <w:rFonts w:ascii="Times New Roman" w:hAnsi="Times New Roman" w:cs="Times New Roman"/>
              </w:rPr>
              <w:t xml:space="preserve"> Lane </w:t>
            </w:r>
            <w:proofErr w:type="spellStart"/>
            <w:r>
              <w:rPr>
                <w:rFonts w:ascii="Times New Roman" w:hAnsi="Times New Roman" w:cs="Times New Roman"/>
              </w:rPr>
              <w:t>Copse</w:t>
            </w:r>
            <w:proofErr w:type="spellEnd"/>
          </w:p>
        </w:tc>
        <w:tc>
          <w:tcPr>
            <w:tcW w:w="3510" w:type="dxa"/>
          </w:tcPr>
          <w:p w14:paraId="18555775" w14:textId="2ED5014C" w:rsidR="00B63375" w:rsidRPr="00804714" w:rsidRDefault="00B63375" w:rsidP="00B63375">
            <w:pPr>
              <w:rPr>
                <w:rFonts w:ascii="Times New Roman" w:hAnsi="Times New Roman" w:cs="Times New Roman"/>
              </w:rPr>
            </w:pPr>
          </w:p>
        </w:tc>
      </w:tr>
      <w:tr w:rsidR="00B63375" w14:paraId="253F4503" w14:textId="77777777" w:rsidTr="00B63375">
        <w:tc>
          <w:tcPr>
            <w:tcW w:w="3148" w:type="dxa"/>
          </w:tcPr>
          <w:p w14:paraId="7632181B" w14:textId="77777777" w:rsidR="00B63375" w:rsidRPr="00804714" w:rsidRDefault="00B63375" w:rsidP="00B63375">
            <w:pPr>
              <w:rPr>
                <w:rFonts w:ascii="Times New Roman" w:hAnsi="Times New Roman" w:cs="Times New Roman"/>
              </w:rPr>
            </w:pPr>
            <w:r>
              <w:rPr>
                <w:rFonts w:ascii="Times New Roman" w:hAnsi="Times New Roman" w:cs="Times New Roman"/>
              </w:rPr>
              <w:t>Bog Wood</w:t>
            </w:r>
          </w:p>
        </w:tc>
        <w:tc>
          <w:tcPr>
            <w:tcW w:w="3510" w:type="dxa"/>
          </w:tcPr>
          <w:p w14:paraId="7AD3AA75" w14:textId="77777777" w:rsidR="00B63375" w:rsidRPr="00804714" w:rsidRDefault="00B63375" w:rsidP="00B63375">
            <w:pPr>
              <w:rPr>
                <w:rFonts w:ascii="Times New Roman" w:hAnsi="Times New Roman" w:cs="Times New Roman"/>
              </w:rPr>
            </w:pPr>
            <w:r>
              <w:rPr>
                <w:rFonts w:ascii="Times New Roman" w:hAnsi="Times New Roman" w:cs="Times New Roman"/>
              </w:rPr>
              <w:t>Income Fund: Skipton BS</w:t>
            </w:r>
          </w:p>
        </w:tc>
      </w:tr>
      <w:tr w:rsidR="00B63375" w14:paraId="0594B39F" w14:textId="77777777" w:rsidTr="00B63375">
        <w:tc>
          <w:tcPr>
            <w:tcW w:w="3148" w:type="dxa"/>
          </w:tcPr>
          <w:p w14:paraId="07475D55" w14:textId="77777777" w:rsidR="00B63375" w:rsidRPr="00804714" w:rsidRDefault="00B63375" w:rsidP="00B63375">
            <w:pPr>
              <w:rPr>
                <w:rFonts w:ascii="Times New Roman" w:hAnsi="Times New Roman" w:cs="Times New Roman"/>
              </w:rPr>
            </w:pPr>
            <w:r>
              <w:rPr>
                <w:rFonts w:ascii="Times New Roman" w:hAnsi="Times New Roman" w:cs="Times New Roman"/>
              </w:rPr>
              <w:t>Little Wood</w:t>
            </w:r>
          </w:p>
        </w:tc>
        <w:tc>
          <w:tcPr>
            <w:tcW w:w="3510" w:type="dxa"/>
          </w:tcPr>
          <w:p w14:paraId="57D4462B" w14:textId="77777777" w:rsidR="00B63375" w:rsidRDefault="00B63375" w:rsidP="00B63375">
            <w:pPr>
              <w:rPr>
                <w:rFonts w:ascii="Times New Roman" w:hAnsi="Times New Roman" w:cs="Times New Roman"/>
              </w:rPr>
            </w:pPr>
          </w:p>
        </w:tc>
      </w:tr>
      <w:tr w:rsidR="00B63375" w14:paraId="05FA9B18" w14:textId="77777777" w:rsidTr="00B63375">
        <w:tc>
          <w:tcPr>
            <w:tcW w:w="3148" w:type="dxa"/>
          </w:tcPr>
          <w:p w14:paraId="34BB7FA1" w14:textId="77777777" w:rsidR="00B63375" w:rsidRPr="00804714" w:rsidRDefault="00C32D6C" w:rsidP="00B63375">
            <w:pPr>
              <w:rPr>
                <w:rFonts w:ascii="Times New Roman" w:hAnsi="Times New Roman" w:cs="Times New Roman"/>
              </w:rPr>
            </w:pPr>
            <w:proofErr w:type="spellStart"/>
            <w:r>
              <w:rPr>
                <w:rFonts w:ascii="Times New Roman" w:hAnsi="Times New Roman" w:cs="Times New Roman"/>
              </w:rPr>
              <w:t>Skyrakes</w:t>
            </w:r>
            <w:proofErr w:type="spellEnd"/>
          </w:p>
        </w:tc>
        <w:tc>
          <w:tcPr>
            <w:tcW w:w="3510" w:type="dxa"/>
          </w:tcPr>
          <w:p w14:paraId="181C050E" w14:textId="77777777" w:rsidR="00B63375" w:rsidRDefault="00B63375" w:rsidP="00B63375">
            <w:pPr>
              <w:rPr>
                <w:rFonts w:ascii="Times New Roman" w:hAnsi="Times New Roman" w:cs="Times New Roman"/>
              </w:rPr>
            </w:pPr>
          </w:p>
        </w:tc>
      </w:tr>
      <w:tr w:rsidR="00B63375" w14:paraId="700478B8" w14:textId="77777777" w:rsidTr="00B63375">
        <w:tc>
          <w:tcPr>
            <w:tcW w:w="3148" w:type="dxa"/>
          </w:tcPr>
          <w:p w14:paraId="7A1C9340" w14:textId="77777777" w:rsidR="00B63375" w:rsidRPr="00C32D6C" w:rsidRDefault="00C32D6C" w:rsidP="00C32D6C">
            <w:pPr>
              <w:rPr>
                <w:rFonts w:ascii="Times New Roman" w:hAnsi="Times New Roman" w:cs="Times New Roman"/>
              </w:rPr>
            </w:pPr>
            <w:proofErr w:type="spellStart"/>
            <w:r>
              <w:rPr>
                <w:rFonts w:ascii="Times New Roman" w:hAnsi="Times New Roman" w:cs="Times New Roman"/>
              </w:rPr>
              <w:t>Grassington</w:t>
            </w:r>
            <w:proofErr w:type="spellEnd"/>
            <w:r>
              <w:rPr>
                <w:rFonts w:ascii="Times New Roman" w:hAnsi="Times New Roman" w:cs="Times New Roman"/>
              </w:rPr>
              <w:t xml:space="preserve"> Road</w:t>
            </w:r>
          </w:p>
        </w:tc>
        <w:tc>
          <w:tcPr>
            <w:tcW w:w="3510" w:type="dxa"/>
          </w:tcPr>
          <w:p w14:paraId="3549EC8C" w14:textId="77777777" w:rsidR="00B63375" w:rsidRPr="00305497" w:rsidRDefault="00B63375" w:rsidP="00B63375">
            <w:pPr>
              <w:jc w:val="right"/>
              <w:rPr>
                <w:rFonts w:ascii="Times New Roman" w:hAnsi="Times New Roman" w:cs="Times New Roman"/>
                <w:b/>
              </w:rPr>
            </w:pPr>
          </w:p>
        </w:tc>
      </w:tr>
      <w:tr w:rsidR="009A12F1" w14:paraId="47E12930" w14:textId="77777777" w:rsidTr="00B63375">
        <w:tc>
          <w:tcPr>
            <w:tcW w:w="3148" w:type="dxa"/>
          </w:tcPr>
          <w:p w14:paraId="4B75CD39" w14:textId="4A065810" w:rsidR="009A12F1" w:rsidRDefault="009A12F1" w:rsidP="00C32D6C">
            <w:pPr>
              <w:rPr>
                <w:rFonts w:ascii="Times New Roman" w:hAnsi="Times New Roman" w:cs="Times New Roman"/>
              </w:rPr>
            </w:pPr>
            <w:r>
              <w:rPr>
                <w:rFonts w:ascii="Times New Roman" w:hAnsi="Times New Roman" w:cs="Times New Roman"/>
              </w:rPr>
              <w:t>Coach St, Skipton</w:t>
            </w:r>
          </w:p>
        </w:tc>
        <w:tc>
          <w:tcPr>
            <w:tcW w:w="3510" w:type="dxa"/>
          </w:tcPr>
          <w:p w14:paraId="014ED229" w14:textId="77777777" w:rsidR="009A12F1" w:rsidRPr="00305497" w:rsidRDefault="009A12F1" w:rsidP="00B63375">
            <w:pPr>
              <w:jc w:val="right"/>
              <w:rPr>
                <w:rFonts w:ascii="Times New Roman" w:hAnsi="Times New Roman" w:cs="Times New Roman"/>
                <w:b/>
              </w:rPr>
            </w:pPr>
          </w:p>
        </w:tc>
      </w:tr>
    </w:tbl>
    <w:p w14:paraId="76981E15" w14:textId="77777777" w:rsidR="00C75A3F" w:rsidRDefault="0033747B" w:rsidP="0033747B">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14:paraId="44C6F38E" w14:textId="77777777" w:rsidR="0033747B" w:rsidRPr="00C31E12" w:rsidRDefault="005B65A9" w:rsidP="00C31E12">
      <w:pPr>
        <w:pStyle w:val="ListParagraph"/>
        <w:numPr>
          <w:ilvl w:val="0"/>
          <w:numId w:val="11"/>
        </w:numPr>
        <w:rPr>
          <w:rFonts w:ascii="Times New Roman" w:hAnsi="Times New Roman" w:cs="Times New Roman"/>
          <w:sz w:val="28"/>
          <w:szCs w:val="28"/>
          <w:u w:val="single"/>
        </w:rPr>
      </w:pPr>
      <w:r w:rsidRPr="00C31E12">
        <w:rPr>
          <w:rFonts w:ascii="Times New Roman" w:hAnsi="Times New Roman" w:cs="Times New Roman"/>
          <w:sz w:val="28"/>
          <w:szCs w:val="28"/>
          <w:u w:val="single"/>
        </w:rPr>
        <w:t xml:space="preserve">Assets in </w:t>
      </w:r>
      <w:r w:rsidR="00D6224D">
        <w:rPr>
          <w:rFonts w:ascii="Times New Roman" w:hAnsi="Times New Roman" w:cs="Times New Roman"/>
          <w:sz w:val="28"/>
          <w:szCs w:val="28"/>
          <w:u w:val="single"/>
        </w:rPr>
        <w:t>Expendable Endowment</w:t>
      </w:r>
      <w:r w:rsidRPr="00C31E12">
        <w:rPr>
          <w:rFonts w:ascii="Times New Roman" w:hAnsi="Times New Roman" w:cs="Times New Roman"/>
          <w:sz w:val="28"/>
          <w:szCs w:val="28"/>
          <w:u w:val="single"/>
        </w:rPr>
        <w:t xml:space="preserve"> Fund –</w:t>
      </w:r>
      <w:r w:rsidR="00C31E12" w:rsidRPr="00C31E12">
        <w:rPr>
          <w:rFonts w:ascii="Times New Roman" w:hAnsi="Times New Roman" w:cs="Times New Roman"/>
          <w:sz w:val="28"/>
          <w:szCs w:val="28"/>
          <w:u w:val="single"/>
        </w:rPr>
        <w:t xml:space="preserve"> </w:t>
      </w:r>
      <w:r w:rsidR="00D6224D">
        <w:rPr>
          <w:rFonts w:ascii="Times New Roman" w:hAnsi="Times New Roman" w:cs="Times New Roman"/>
          <w:sz w:val="28"/>
          <w:szCs w:val="28"/>
          <w:u w:val="single"/>
        </w:rPr>
        <w:t>Programme Related Investment</w:t>
      </w:r>
    </w:p>
    <w:p w14:paraId="1F7A6608" w14:textId="77777777" w:rsidR="00C31E12" w:rsidRPr="0007409A" w:rsidRDefault="00C31E12" w:rsidP="0033747B">
      <w:pPr>
        <w:rPr>
          <w:rFonts w:ascii="Times New Roman" w:hAnsi="Times New Roman" w:cs="Times New Roman"/>
          <w:sz w:val="20"/>
          <w:szCs w:val="20"/>
        </w:rPr>
      </w:pPr>
      <w:proofErr w:type="spellStart"/>
      <w:proofErr w:type="gramStart"/>
      <w:r w:rsidRPr="0007409A">
        <w:rPr>
          <w:rFonts w:ascii="Times New Roman" w:hAnsi="Times New Roman" w:cs="Times New Roman"/>
          <w:i/>
          <w:sz w:val="20"/>
          <w:szCs w:val="20"/>
        </w:rPr>
        <w:t>ie</w:t>
      </w:r>
      <w:proofErr w:type="spellEnd"/>
      <w:proofErr w:type="gramEnd"/>
      <w:r w:rsidRPr="0007409A">
        <w:rPr>
          <w:rFonts w:ascii="Times New Roman" w:hAnsi="Times New Roman" w:cs="Times New Roman"/>
          <w:i/>
          <w:sz w:val="20"/>
          <w:szCs w:val="20"/>
        </w:rPr>
        <w:t xml:space="preserve"> </w:t>
      </w:r>
      <w:r w:rsidR="00022985" w:rsidRPr="0007409A">
        <w:rPr>
          <w:rFonts w:ascii="Times New Roman" w:hAnsi="Times New Roman" w:cs="Times New Roman"/>
          <w:i/>
          <w:sz w:val="20"/>
          <w:szCs w:val="20"/>
        </w:rPr>
        <w:t xml:space="preserve">income-generating </w:t>
      </w:r>
      <w:r w:rsidRPr="0007409A">
        <w:rPr>
          <w:rFonts w:ascii="Times New Roman" w:hAnsi="Times New Roman" w:cs="Times New Roman"/>
          <w:i/>
          <w:sz w:val="20"/>
          <w:szCs w:val="20"/>
        </w:rPr>
        <w:t xml:space="preserve">investments </w:t>
      </w:r>
      <w:r w:rsidR="00022985" w:rsidRPr="0007409A">
        <w:rPr>
          <w:rFonts w:ascii="Times New Roman" w:hAnsi="Times New Roman" w:cs="Times New Roman"/>
          <w:i/>
          <w:sz w:val="20"/>
          <w:szCs w:val="20"/>
        </w:rPr>
        <w:t xml:space="preserve">which </w:t>
      </w:r>
      <w:r w:rsidR="0001083E" w:rsidRPr="0007409A">
        <w:rPr>
          <w:rFonts w:ascii="Times New Roman" w:hAnsi="Times New Roman" w:cs="Times New Roman"/>
          <w:i/>
          <w:sz w:val="20"/>
          <w:szCs w:val="20"/>
        </w:rPr>
        <w:t xml:space="preserve">may </w:t>
      </w:r>
      <w:r w:rsidR="00022985" w:rsidRPr="0007409A">
        <w:rPr>
          <w:rFonts w:ascii="Times New Roman" w:hAnsi="Times New Roman" w:cs="Times New Roman"/>
          <w:i/>
          <w:sz w:val="20"/>
          <w:szCs w:val="20"/>
        </w:rPr>
        <w:t>also have</w:t>
      </w:r>
      <w:r w:rsidRPr="0007409A">
        <w:rPr>
          <w:rFonts w:ascii="Times New Roman" w:hAnsi="Times New Roman" w:cs="Times New Roman"/>
          <w:i/>
          <w:sz w:val="20"/>
          <w:szCs w:val="20"/>
        </w:rPr>
        <w:t xml:space="preserve"> the primary aim of furthering the charitable object</w:t>
      </w:r>
      <w:r w:rsidR="0001083E" w:rsidRPr="0007409A">
        <w:rPr>
          <w:rFonts w:ascii="Times New Roman" w:hAnsi="Times New Roman" w:cs="Times New Roman"/>
          <w:i/>
          <w:sz w:val="20"/>
          <w:szCs w:val="20"/>
        </w:rPr>
        <w:t xml:space="preserve"> of general benefit</w:t>
      </w:r>
    </w:p>
    <w:tbl>
      <w:tblPr>
        <w:tblStyle w:val="TableGrid"/>
        <w:tblW w:w="0" w:type="auto"/>
        <w:tblLook w:val="04A0" w:firstRow="1" w:lastRow="0" w:firstColumn="1" w:lastColumn="0" w:noHBand="0" w:noVBand="1"/>
      </w:tblPr>
      <w:tblGrid>
        <w:gridCol w:w="3681"/>
      </w:tblGrid>
      <w:tr w:rsidR="00B63375" w14:paraId="2D8EC6F5" w14:textId="77777777" w:rsidTr="005B65A9">
        <w:tc>
          <w:tcPr>
            <w:tcW w:w="3681" w:type="dxa"/>
          </w:tcPr>
          <w:p w14:paraId="35A8F369" w14:textId="77777777" w:rsidR="00B63375" w:rsidRPr="00E421AB" w:rsidRDefault="00B63375" w:rsidP="003123AE">
            <w:pPr>
              <w:jc w:val="center"/>
              <w:rPr>
                <w:rFonts w:ascii="Times New Roman" w:hAnsi="Times New Roman" w:cs="Times New Roman"/>
                <w:sz w:val="28"/>
                <w:szCs w:val="28"/>
                <w:u w:val="single"/>
              </w:rPr>
            </w:pPr>
            <w:r>
              <w:rPr>
                <w:rFonts w:ascii="Times New Roman" w:hAnsi="Times New Roman" w:cs="Times New Roman"/>
                <w:sz w:val="28"/>
                <w:szCs w:val="28"/>
                <w:u w:val="single"/>
              </w:rPr>
              <w:t>Asset</w:t>
            </w:r>
          </w:p>
        </w:tc>
      </w:tr>
      <w:tr w:rsidR="00B63375" w14:paraId="00AC50EA" w14:textId="77777777" w:rsidTr="005B65A9">
        <w:tc>
          <w:tcPr>
            <w:tcW w:w="3681" w:type="dxa"/>
          </w:tcPr>
          <w:p w14:paraId="3B4C7EE1" w14:textId="0E18BD86" w:rsidR="00B63375" w:rsidRPr="00804714" w:rsidRDefault="00B63375" w:rsidP="0022393D">
            <w:pPr>
              <w:rPr>
                <w:rFonts w:ascii="Times New Roman" w:hAnsi="Times New Roman" w:cs="Times New Roman"/>
              </w:rPr>
            </w:pPr>
            <w:r>
              <w:rPr>
                <w:rFonts w:ascii="Times New Roman" w:hAnsi="Times New Roman" w:cs="Times New Roman"/>
              </w:rPr>
              <w:t>Memorial Woodland</w:t>
            </w:r>
          </w:p>
        </w:tc>
      </w:tr>
    </w:tbl>
    <w:p w14:paraId="6DA8C5F2" w14:textId="77777777" w:rsidR="006C2B10" w:rsidRDefault="006C2B10" w:rsidP="006679AB">
      <w:pPr>
        <w:ind w:left="360"/>
        <w:rPr>
          <w:rFonts w:ascii="Times New Roman" w:hAnsi="Times New Roman" w:cs="Times New Roman"/>
          <w:b/>
          <w:sz w:val="28"/>
          <w:szCs w:val="28"/>
          <w:u w:val="single"/>
        </w:rPr>
      </w:pPr>
    </w:p>
    <w:p w14:paraId="7EBEC3CE" w14:textId="77777777" w:rsidR="000B1188" w:rsidRPr="006679AB" w:rsidRDefault="006679AB" w:rsidP="006679AB">
      <w:pPr>
        <w:ind w:left="360"/>
        <w:rPr>
          <w:rFonts w:ascii="Times New Roman" w:hAnsi="Times New Roman" w:cs="Times New Roman"/>
          <w:sz w:val="28"/>
          <w:szCs w:val="28"/>
        </w:rPr>
      </w:pPr>
      <w:r w:rsidRPr="006679AB">
        <w:rPr>
          <w:rFonts w:ascii="Times New Roman" w:hAnsi="Times New Roman" w:cs="Times New Roman"/>
          <w:b/>
          <w:sz w:val="28"/>
          <w:szCs w:val="28"/>
          <w:u w:val="single"/>
        </w:rPr>
        <w:t>This policy is reviewed on an annual basis</w:t>
      </w:r>
    </w:p>
    <w:sectPr w:rsidR="000B1188" w:rsidRPr="0066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D79"/>
    <w:multiLevelType w:val="hybridMultilevel"/>
    <w:tmpl w:val="5BE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2918"/>
    <w:multiLevelType w:val="hybridMultilevel"/>
    <w:tmpl w:val="857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7CCE"/>
    <w:multiLevelType w:val="hybridMultilevel"/>
    <w:tmpl w:val="6B2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57B4"/>
    <w:multiLevelType w:val="hybridMultilevel"/>
    <w:tmpl w:val="5636E0C2"/>
    <w:lvl w:ilvl="0" w:tplc="117ABDFE">
      <w:start w:val="1"/>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50078"/>
    <w:multiLevelType w:val="hybridMultilevel"/>
    <w:tmpl w:val="5B24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276DE"/>
    <w:multiLevelType w:val="hybridMultilevel"/>
    <w:tmpl w:val="EB6E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655CB"/>
    <w:multiLevelType w:val="hybridMultilevel"/>
    <w:tmpl w:val="AA0E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64C41"/>
    <w:multiLevelType w:val="hybridMultilevel"/>
    <w:tmpl w:val="330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25AE7"/>
    <w:multiLevelType w:val="hybridMultilevel"/>
    <w:tmpl w:val="607E5876"/>
    <w:lvl w:ilvl="0" w:tplc="CFF8DA3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73B1C"/>
    <w:multiLevelType w:val="hybridMultilevel"/>
    <w:tmpl w:val="F0BAD27C"/>
    <w:lvl w:ilvl="0" w:tplc="11E268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855A5"/>
    <w:multiLevelType w:val="hybridMultilevel"/>
    <w:tmpl w:val="A48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C06C1"/>
    <w:multiLevelType w:val="hybridMultilevel"/>
    <w:tmpl w:val="A8F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80B73"/>
    <w:multiLevelType w:val="hybridMultilevel"/>
    <w:tmpl w:val="CF6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2"/>
  </w:num>
  <w:num w:numId="5">
    <w:abstractNumId w:val="4"/>
  </w:num>
  <w:num w:numId="6">
    <w:abstractNumId w:val="7"/>
  </w:num>
  <w:num w:numId="7">
    <w:abstractNumId w:val="0"/>
  </w:num>
  <w:num w:numId="8">
    <w:abstractNumId w:val="5"/>
  </w:num>
  <w:num w:numId="9">
    <w:abstractNumId w:val="2"/>
  </w:num>
  <w:num w:numId="10">
    <w:abstractNumId w:val="10"/>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2B"/>
    <w:rsid w:val="0001083E"/>
    <w:rsid w:val="00016376"/>
    <w:rsid w:val="00022985"/>
    <w:rsid w:val="00031770"/>
    <w:rsid w:val="0007409A"/>
    <w:rsid w:val="0008703C"/>
    <w:rsid w:val="000B1188"/>
    <w:rsid w:val="000D07BC"/>
    <w:rsid w:val="000D692B"/>
    <w:rsid w:val="00117B0E"/>
    <w:rsid w:val="00155ECB"/>
    <w:rsid w:val="00187DE9"/>
    <w:rsid w:val="001C5E12"/>
    <w:rsid w:val="001F2C88"/>
    <w:rsid w:val="0022393D"/>
    <w:rsid w:val="002C653B"/>
    <w:rsid w:val="002F73E7"/>
    <w:rsid w:val="00305497"/>
    <w:rsid w:val="0033747B"/>
    <w:rsid w:val="003821E9"/>
    <w:rsid w:val="003900EC"/>
    <w:rsid w:val="003A536F"/>
    <w:rsid w:val="003F1473"/>
    <w:rsid w:val="00425C11"/>
    <w:rsid w:val="004302BD"/>
    <w:rsid w:val="004C73D6"/>
    <w:rsid w:val="00516A06"/>
    <w:rsid w:val="0054038D"/>
    <w:rsid w:val="00592E92"/>
    <w:rsid w:val="005B65A9"/>
    <w:rsid w:val="006644C4"/>
    <w:rsid w:val="006657E1"/>
    <w:rsid w:val="0066647E"/>
    <w:rsid w:val="006679AB"/>
    <w:rsid w:val="006821BE"/>
    <w:rsid w:val="00695493"/>
    <w:rsid w:val="006C2B10"/>
    <w:rsid w:val="00706CFE"/>
    <w:rsid w:val="00804714"/>
    <w:rsid w:val="00826004"/>
    <w:rsid w:val="008A586A"/>
    <w:rsid w:val="008B0716"/>
    <w:rsid w:val="008C287C"/>
    <w:rsid w:val="008D2566"/>
    <w:rsid w:val="008F1C90"/>
    <w:rsid w:val="00936225"/>
    <w:rsid w:val="0094638D"/>
    <w:rsid w:val="009A12F1"/>
    <w:rsid w:val="00A57BD6"/>
    <w:rsid w:val="00B4046B"/>
    <w:rsid w:val="00B54797"/>
    <w:rsid w:val="00B63375"/>
    <w:rsid w:val="00C016CB"/>
    <w:rsid w:val="00C31E12"/>
    <w:rsid w:val="00C32D6C"/>
    <w:rsid w:val="00C75A3F"/>
    <w:rsid w:val="00CD0DC4"/>
    <w:rsid w:val="00D6224D"/>
    <w:rsid w:val="00DA69C2"/>
    <w:rsid w:val="00DC37D9"/>
    <w:rsid w:val="00DC5026"/>
    <w:rsid w:val="00E3108B"/>
    <w:rsid w:val="00E421AB"/>
    <w:rsid w:val="00E819F1"/>
    <w:rsid w:val="00EC5F81"/>
    <w:rsid w:val="00EF3D67"/>
    <w:rsid w:val="00F0361C"/>
    <w:rsid w:val="00F23E1C"/>
    <w:rsid w:val="00F3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F5D0"/>
  <w15:chartTrackingRefBased/>
  <w15:docId w15:val="{D2EACEA1-4F06-4FE1-A96F-F9973F7F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D9"/>
    <w:pPr>
      <w:ind w:left="720"/>
      <w:contextualSpacing/>
    </w:pPr>
  </w:style>
  <w:style w:type="table" w:styleId="TableGrid">
    <w:name w:val="Table Grid"/>
    <w:basedOn w:val="TableNormal"/>
    <w:uiPriority w:val="39"/>
    <w:rsid w:val="0080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3C3D-DEDC-42CD-8419-BC4DAA56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15</cp:revision>
  <dcterms:created xsi:type="dcterms:W3CDTF">2017-01-18T15:58:00Z</dcterms:created>
  <dcterms:modified xsi:type="dcterms:W3CDTF">2021-05-03T11:06:00Z</dcterms:modified>
</cp:coreProperties>
</file>