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AC56" w14:textId="78F922E5" w:rsidR="002F73E7" w:rsidRDefault="00DC37D9" w:rsidP="008C287C">
      <w:pPr>
        <w:spacing w:after="0"/>
        <w:jc w:val="center"/>
        <w:rPr>
          <w:rFonts w:cs="Times New Roman"/>
          <w:b/>
          <w:sz w:val="40"/>
          <w:szCs w:val="40"/>
        </w:rPr>
      </w:pPr>
      <w:r>
        <w:rPr>
          <w:noProof/>
          <w:lang w:eastAsia="en-GB"/>
        </w:rPr>
        <mc:AlternateContent>
          <mc:Choice Requires="wps">
            <w:drawing>
              <wp:anchor distT="0" distB="0" distL="114300" distR="114300" simplePos="0" relativeHeight="251661312" behindDoc="0" locked="0" layoutInCell="1" allowOverlap="1" wp14:anchorId="4883A1B2" wp14:editId="7CDF0C31">
                <wp:simplePos x="0" y="0"/>
                <wp:positionH relativeFrom="margin">
                  <wp:align>center</wp:align>
                </wp:positionH>
                <wp:positionV relativeFrom="paragraph">
                  <wp:posOffset>-704850</wp:posOffset>
                </wp:positionV>
                <wp:extent cx="5229225" cy="914400"/>
                <wp:effectExtent l="0" t="0" r="28575" b="15240"/>
                <wp:wrapNone/>
                <wp:docPr id="1" name="Text Box 1"/>
                <wp:cNvGraphicFramePr/>
                <a:graphic xmlns:a="http://schemas.openxmlformats.org/drawingml/2006/main">
                  <a:graphicData uri="http://schemas.microsoft.com/office/word/2010/wordprocessingShape">
                    <wps:wsp>
                      <wps:cNvSpPr txBox="1"/>
                      <wps:spPr>
                        <a:xfrm>
                          <a:off x="0" y="0"/>
                          <a:ext cx="5229225" cy="914400"/>
                        </a:xfrm>
                        <a:prstGeom prst="rect">
                          <a:avLst/>
                        </a:prstGeom>
                        <a:solidFill>
                          <a:schemeClr val="accent6">
                            <a:lumMod val="60000"/>
                            <a:lumOff val="40000"/>
                          </a:schemeClr>
                        </a:solidFill>
                        <a:ln w="12700">
                          <a:solidFill>
                            <a:schemeClr val="accent1"/>
                          </a:solidFill>
                        </a:ln>
                        <a:effectLst/>
                      </wps:spPr>
                      <wps:txbx>
                        <w:txbxContent>
                          <w:p w14:paraId="4A75A2E8" w14:textId="77777777" w:rsidR="00DC37D9" w:rsidRPr="00016376" w:rsidRDefault="00016376" w:rsidP="00DC37D9">
                            <w:pPr>
                              <w:jc w:val="center"/>
                              <w:rPr>
                                <w:rFonts w:ascii="Times New Roman" w:hAnsi="Times New Roman" w:cs="Times New Roman"/>
                                <w:noProo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6376">
                              <w:rPr>
                                <w:rFonts w:ascii="Times New Roman" w:hAnsi="Times New Roman" w:cs="Times New Roman"/>
                                <w:noProo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4C73D6" w:rsidRPr="00016376">
                              <w:rPr>
                                <w:rFonts w:ascii="Times New Roman" w:hAnsi="Times New Roman" w:cs="Times New Roman"/>
                                <w:noProo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TARN MOOR ESTATE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883A1B2" id="_x0000_t202" coordsize="21600,21600" o:spt="202" path="m,l,21600r21600,l21600,xe">
                <v:stroke joinstyle="miter"/>
                <v:path gradientshapeok="t" o:connecttype="rect"/>
              </v:shapetype>
              <v:shape id="Text Box 1" o:spid="_x0000_s1026" type="#_x0000_t202" style="position:absolute;left:0;text-align:left;margin-left:0;margin-top:-55.5pt;width:411.75pt;height:1in;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" fillcolor="#a8d08d [1945]" strokecolor="#5b9bd5 [3204]" strokeweight="1pt">
                <v:textbox style="mso-fit-shape-to-text:t">
                  <w:txbxContent>
                    <w:p w14:paraId="4A75A2E8" w14:textId="77777777" w:rsidR="00DC37D9" w:rsidRPr="00016376" w:rsidRDefault="00016376" w:rsidP="00DC37D9">
                      <w:pPr>
                        <w:jc w:val="center"/>
                        <w:rPr>
                          <w:rFonts w:ascii="Times New Roman" w:hAnsi="Times New Roman" w:cs="Times New Roman"/>
                          <w:noProo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6376">
                        <w:rPr>
                          <w:rFonts w:ascii="Times New Roman" w:hAnsi="Times New Roman" w:cs="Times New Roman"/>
                          <w:noProo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4C73D6" w:rsidRPr="00016376">
                        <w:rPr>
                          <w:rFonts w:ascii="Times New Roman" w:hAnsi="Times New Roman" w:cs="Times New Roman"/>
                          <w:noProo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TARN MOOR ESTATE</w:t>
                      </w:r>
                    </w:p>
                  </w:txbxContent>
                </v:textbox>
                <w10:wrap anchorx="margin"/>
              </v:shape>
            </w:pict>
          </mc:Fallback>
        </mc:AlternateContent>
      </w:r>
      <w:r w:rsidR="000E5E4F">
        <w:rPr>
          <w:rFonts w:cs="Times New Roman"/>
          <w:b/>
          <w:sz w:val="72"/>
          <w:szCs w:val="72"/>
        </w:rPr>
        <w:t>DATA PROTECTION</w:t>
      </w:r>
      <w:r w:rsidR="00DC5026">
        <w:rPr>
          <w:rFonts w:cs="Times New Roman"/>
          <w:b/>
          <w:sz w:val="72"/>
          <w:szCs w:val="72"/>
        </w:rPr>
        <w:t xml:space="preserve"> POLICY</w:t>
      </w:r>
    </w:p>
    <w:p w14:paraId="1C9A8092" w14:textId="77777777" w:rsidR="000E5E4F" w:rsidRPr="00E65085" w:rsidRDefault="000E5E4F" w:rsidP="000E5E4F">
      <w:pPr>
        <w:pStyle w:val="Paragraph"/>
        <w:spacing w:before="240" w:after="240"/>
        <w:outlineLvl w:val="0"/>
        <w:rPr>
          <w:rFonts w:ascii="Arial" w:hAnsi="Arial" w:cs="Arial"/>
          <w:b/>
          <w:bCs/>
          <w:sz w:val="24"/>
          <w:u w:val="single"/>
        </w:rPr>
      </w:pPr>
      <w:r w:rsidRPr="00E65085">
        <w:rPr>
          <w:rFonts w:ascii="Arial" w:hAnsi="Arial" w:cs="Arial"/>
          <w:b/>
          <w:bCs/>
          <w:sz w:val="24"/>
          <w:u w:val="single"/>
        </w:rPr>
        <w:t>Introduction</w:t>
      </w:r>
    </w:p>
    <w:p w14:paraId="6E43120A" w14:textId="0751AB5A" w:rsidR="000E5E4F" w:rsidRPr="00E65085" w:rsidRDefault="000E5E4F" w:rsidP="000E5E4F">
      <w:pPr>
        <w:pStyle w:val="Paragraph"/>
        <w:spacing w:before="240" w:after="240"/>
        <w:rPr>
          <w:rFonts w:ascii="Arial" w:hAnsi="Arial" w:cs="Arial"/>
          <w:sz w:val="24"/>
        </w:rPr>
      </w:pPr>
      <w:r>
        <w:rPr>
          <w:rFonts w:ascii="Arial" w:hAnsi="Arial" w:cs="Arial"/>
          <w:sz w:val="24"/>
          <w:szCs w:val="24"/>
          <w:lang w:val="en-GB"/>
        </w:rPr>
        <w:t>The Tarn Moor Estate</w:t>
      </w:r>
      <w:r w:rsidRPr="00E65085">
        <w:rPr>
          <w:rFonts w:ascii="Arial" w:hAnsi="Arial" w:cs="Arial"/>
          <w:sz w:val="24"/>
        </w:rPr>
        <w:t xml:space="preserve"> needs to collect and use certain types of information about the Data Subjects who come into contact </w:t>
      </w:r>
      <w:r>
        <w:rPr>
          <w:rFonts w:ascii="Arial" w:hAnsi="Arial" w:cs="Arial"/>
          <w:sz w:val="24"/>
        </w:rPr>
        <w:t>with it in order to carry on its activities</w:t>
      </w:r>
      <w:r w:rsidRPr="00E65085">
        <w:rPr>
          <w:rFonts w:ascii="Arial" w:hAnsi="Arial" w:cs="Arial"/>
          <w:sz w:val="24"/>
        </w:rPr>
        <w:t>. This personal information must be collected and dealt with appropriately– whether on pape</w:t>
      </w:r>
      <w:r w:rsidR="00D11A9B">
        <w:rPr>
          <w:rFonts w:ascii="Arial" w:hAnsi="Arial" w:cs="Arial"/>
          <w:sz w:val="24"/>
        </w:rPr>
        <w:t>r, in a computer, or recorded in</w:t>
      </w:r>
      <w:r w:rsidRPr="00E65085">
        <w:rPr>
          <w:rFonts w:ascii="Arial" w:hAnsi="Arial" w:cs="Arial"/>
          <w:sz w:val="24"/>
        </w:rPr>
        <w:t xml:space="preserve"> other material - and there are safeguards to ensure this under the </w:t>
      </w:r>
      <w:r w:rsidR="00847841">
        <w:rPr>
          <w:rFonts w:ascii="Arial" w:hAnsi="Arial" w:cs="Arial"/>
          <w:sz w:val="24"/>
        </w:rPr>
        <w:t xml:space="preserve">GDPR 2018 and </w:t>
      </w:r>
      <w:r w:rsidRPr="00E65085">
        <w:rPr>
          <w:rFonts w:ascii="Arial" w:hAnsi="Arial" w:cs="Arial"/>
          <w:sz w:val="24"/>
        </w:rPr>
        <w:t>Data Protection Act</w:t>
      </w:r>
      <w:r w:rsidR="008F72F5">
        <w:rPr>
          <w:rFonts w:ascii="Arial" w:hAnsi="Arial" w:cs="Arial"/>
          <w:sz w:val="24"/>
        </w:rPr>
        <w:t xml:space="preserve"> 2018</w:t>
      </w:r>
      <w:r w:rsidRPr="00E65085">
        <w:rPr>
          <w:rFonts w:ascii="Arial" w:hAnsi="Arial" w:cs="Arial"/>
          <w:sz w:val="24"/>
        </w:rPr>
        <w:t>.</w:t>
      </w:r>
    </w:p>
    <w:p w14:paraId="1E1801E5" w14:textId="77777777" w:rsidR="000E5E4F" w:rsidRPr="00E65085" w:rsidRDefault="000E5E4F" w:rsidP="000E5E4F">
      <w:pPr>
        <w:pStyle w:val="ListBullet"/>
        <w:jc w:val="both"/>
        <w:rPr>
          <w:b w:val="0"/>
          <w:bCs w:val="0"/>
          <w:sz w:val="24"/>
        </w:rPr>
      </w:pPr>
      <w:r w:rsidRPr="00E65085">
        <w:rPr>
          <w:sz w:val="24"/>
        </w:rPr>
        <w:t xml:space="preserve">The following list below </w:t>
      </w:r>
      <w:r>
        <w:rPr>
          <w:sz w:val="24"/>
        </w:rPr>
        <w:t xml:space="preserve">gives </w:t>
      </w:r>
      <w:r w:rsidRPr="00E65085">
        <w:rPr>
          <w:sz w:val="24"/>
        </w:rPr>
        <w:t>definitions of the technical terms we have used and is intended to aid understanding of this policy.</w:t>
      </w:r>
    </w:p>
    <w:p w14:paraId="250BE1DA" w14:textId="77777777" w:rsidR="00055B88" w:rsidRPr="00E65085" w:rsidRDefault="00055B88" w:rsidP="00055B88">
      <w:pPr>
        <w:spacing w:before="240" w:after="240"/>
        <w:jc w:val="both"/>
      </w:pPr>
      <w:r>
        <w:rPr>
          <w:b/>
          <w:bCs/>
        </w:rPr>
        <w:t>C</w:t>
      </w:r>
      <w:r w:rsidRPr="00E65085">
        <w:rPr>
          <w:b/>
          <w:bCs/>
        </w:rPr>
        <w:t>onsent</w:t>
      </w:r>
      <w:r w:rsidRPr="00E65085">
        <w:t xml:space="preserve"> – </w:t>
      </w:r>
      <w:r>
        <w:t xml:space="preserve">must be </w:t>
      </w:r>
      <w:r w:rsidRPr="00E65085">
        <w:t>freely given, specific</w:t>
      </w:r>
      <w:r>
        <w:t>,</w:t>
      </w:r>
      <w:r w:rsidRPr="00E65085">
        <w:t xml:space="preserve"> informed</w:t>
      </w:r>
      <w:r>
        <w:t>, unambiguous and able to be withdrawn</w:t>
      </w:r>
      <w:r w:rsidRPr="00E65085">
        <w:t xml:space="preserve"> by a Data Subject to the processing of personal information about her/him.   </w:t>
      </w:r>
    </w:p>
    <w:p w14:paraId="1A0D7633" w14:textId="694E39A6" w:rsidR="000E5E4F" w:rsidRPr="00E65085" w:rsidRDefault="000E5E4F" w:rsidP="000E5E4F">
      <w:pPr>
        <w:spacing w:before="240" w:after="240"/>
        <w:jc w:val="both"/>
      </w:pPr>
      <w:r w:rsidRPr="00E65085">
        <w:rPr>
          <w:b/>
          <w:bCs/>
        </w:rPr>
        <w:t>Data Controller</w:t>
      </w:r>
      <w:r w:rsidRPr="00E65085">
        <w:t xml:space="preserve"> – The person who (either alone or with others) decides what personal information </w:t>
      </w:r>
      <w:r w:rsidR="00D11A9B">
        <w:t>is held</w:t>
      </w:r>
      <w:r w:rsidRPr="00E65085">
        <w:t xml:space="preserve"> and how it will be held or used.</w:t>
      </w:r>
    </w:p>
    <w:p w14:paraId="117C4B5C" w14:textId="3FD3C164" w:rsidR="000E5E4F" w:rsidRPr="00E65085" w:rsidRDefault="000E5E4F" w:rsidP="000E5E4F">
      <w:pPr>
        <w:spacing w:before="240" w:after="240"/>
        <w:jc w:val="both"/>
      </w:pPr>
      <w:r w:rsidRPr="00E65085">
        <w:rPr>
          <w:b/>
          <w:bCs/>
        </w:rPr>
        <w:t xml:space="preserve">Data Protection Act </w:t>
      </w:r>
      <w:r w:rsidR="001E5094">
        <w:rPr>
          <w:b/>
          <w:bCs/>
        </w:rPr>
        <w:t>2018</w:t>
      </w:r>
      <w:r w:rsidRPr="00E65085">
        <w:t xml:space="preserve"> – The UK legislation that provides a framework for responsible behaviour by those using personal information.</w:t>
      </w:r>
    </w:p>
    <w:p w14:paraId="585C937F" w14:textId="77777777" w:rsidR="000E5E4F" w:rsidRPr="00E65085" w:rsidRDefault="000E5E4F" w:rsidP="000E5E4F">
      <w:pPr>
        <w:spacing w:before="240" w:after="240"/>
        <w:jc w:val="both"/>
      </w:pPr>
      <w:r w:rsidRPr="00E65085">
        <w:rPr>
          <w:b/>
          <w:bCs/>
        </w:rPr>
        <w:t>Data Subject/Service User</w:t>
      </w:r>
      <w:r w:rsidRPr="00E65085">
        <w:t xml:space="preserve"> – The individual whose personal information is being held or processed by </w:t>
      </w:r>
      <w:r>
        <w:rPr>
          <w:rFonts w:cs="Arial"/>
        </w:rPr>
        <w:t>the charity</w:t>
      </w:r>
      <w:r w:rsidRPr="008473C0">
        <w:rPr>
          <w:rFonts w:cs="Arial"/>
          <w:color w:val="FF9900"/>
        </w:rPr>
        <w:t xml:space="preserve"> </w:t>
      </w:r>
      <w:r w:rsidRPr="00E65085">
        <w:t>(fo</w:t>
      </w:r>
      <w:r>
        <w:t>r example: a client, a volunteer, contractor or adviser</w:t>
      </w:r>
      <w:r w:rsidRPr="00E65085">
        <w:t>)</w:t>
      </w:r>
    </w:p>
    <w:p w14:paraId="06325BA0" w14:textId="407D0175" w:rsidR="001E5094" w:rsidRPr="000F0B57" w:rsidRDefault="001E5094" w:rsidP="000E5E4F">
      <w:pPr>
        <w:pStyle w:val="Footer"/>
        <w:spacing w:before="240" w:after="240"/>
        <w:jc w:val="both"/>
        <w:rPr>
          <w:rFonts w:cs="Arial"/>
          <w:szCs w:val="20"/>
        </w:rPr>
      </w:pPr>
      <w:r>
        <w:rPr>
          <w:rFonts w:cs="Arial"/>
          <w:b/>
          <w:bCs/>
          <w:szCs w:val="20"/>
        </w:rPr>
        <w:t xml:space="preserve">General Data Protection Regulation </w:t>
      </w:r>
      <w:r w:rsidR="00482EEC">
        <w:rPr>
          <w:rFonts w:cs="Arial"/>
          <w:b/>
          <w:bCs/>
          <w:szCs w:val="20"/>
        </w:rPr>
        <w:t>(GDPR)</w:t>
      </w:r>
      <w:r w:rsidR="00AA689A">
        <w:rPr>
          <w:rFonts w:cs="Arial"/>
          <w:b/>
          <w:bCs/>
          <w:szCs w:val="20"/>
        </w:rPr>
        <w:t xml:space="preserve"> 25 May 2018</w:t>
      </w:r>
      <w:r w:rsidR="000F0B57">
        <w:rPr>
          <w:rFonts w:cs="Arial"/>
          <w:b/>
          <w:bCs/>
          <w:szCs w:val="20"/>
        </w:rPr>
        <w:t xml:space="preserve"> – </w:t>
      </w:r>
      <w:r w:rsidR="00AA689A" w:rsidRPr="00AA689A">
        <w:rPr>
          <w:rFonts w:cs="Arial"/>
          <w:szCs w:val="20"/>
        </w:rPr>
        <w:t>gives</w:t>
      </w:r>
      <w:r w:rsidR="00AA689A">
        <w:rPr>
          <w:rFonts w:cs="Arial"/>
          <w:b/>
          <w:bCs/>
          <w:szCs w:val="20"/>
        </w:rPr>
        <w:t xml:space="preserve"> </w:t>
      </w:r>
      <w:r w:rsidR="000F0B57">
        <w:rPr>
          <w:rFonts w:cs="Arial"/>
          <w:szCs w:val="20"/>
        </w:rPr>
        <w:t xml:space="preserve">rights and protections </w:t>
      </w:r>
      <w:r w:rsidR="00AA689A">
        <w:rPr>
          <w:rFonts w:cs="Arial"/>
          <w:szCs w:val="20"/>
        </w:rPr>
        <w:t xml:space="preserve">to individuals </w:t>
      </w:r>
      <w:r w:rsidR="000F0B57">
        <w:rPr>
          <w:rFonts w:cs="Arial"/>
          <w:szCs w:val="20"/>
        </w:rPr>
        <w:t xml:space="preserve">for </w:t>
      </w:r>
      <w:r w:rsidR="00AA689A">
        <w:rPr>
          <w:rFonts w:cs="Arial"/>
          <w:szCs w:val="20"/>
        </w:rPr>
        <w:t xml:space="preserve">use of </w:t>
      </w:r>
      <w:r w:rsidR="000F0B57">
        <w:rPr>
          <w:rFonts w:cs="Arial"/>
          <w:szCs w:val="20"/>
        </w:rPr>
        <w:t>their personal data</w:t>
      </w:r>
      <w:r w:rsidR="00AA689A">
        <w:rPr>
          <w:rFonts w:cs="Arial"/>
          <w:szCs w:val="20"/>
        </w:rPr>
        <w:t xml:space="preserve"> by organisations</w:t>
      </w:r>
    </w:p>
    <w:p w14:paraId="2D740A5D" w14:textId="21578743" w:rsidR="000E5E4F" w:rsidRPr="000E5E4F" w:rsidRDefault="000E5E4F" w:rsidP="000E5E4F">
      <w:pPr>
        <w:pStyle w:val="BodyText"/>
        <w:spacing w:before="240" w:after="240"/>
        <w:jc w:val="both"/>
        <w:rPr>
          <w:rFonts w:asciiTheme="minorHAnsi" w:hAnsiTheme="minorHAnsi" w:cstheme="minorHAnsi"/>
          <w:szCs w:val="22"/>
        </w:rPr>
      </w:pPr>
      <w:r w:rsidRPr="000E5E4F">
        <w:rPr>
          <w:rFonts w:asciiTheme="minorHAnsi" w:hAnsiTheme="minorHAnsi" w:cstheme="minorHAnsi"/>
          <w:b/>
          <w:bCs/>
          <w:szCs w:val="22"/>
        </w:rPr>
        <w:t>Information Commissioner</w:t>
      </w:r>
      <w:r w:rsidRPr="000E5E4F">
        <w:rPr>
          <w:rFonts w:asciiTheme="minorHAnsi" w:hAnsiTheme="minorHAnsi" w:cstheme="minorHAnsi"/>
          <w:szCs w:val="22"/>
        </w:rPr>
        <w:t xml:space="preserve"> – The UK Information Commissioner responsible for implementing and overseeing the Data Protection Act 1998.</w:t>
      </w:r>
      <w:r w:rsidR="00F32C4B">
        <w:rPr>
          <w:rFonts w:asciiTheme="minorHAnsi" w:hAnsiTheme="minorHAnsi" w:cstheme="minorHAnsi"/>
          <w:szCs w:val="22"/>
        </w:rPr>
        <w:t xml:space="preserve">  Organisations are required to pay a data protection fee to the ICO on an annual basis.</w:t>
      </w:r>
    </w:p>
    <w:p w14:paraId="57BE6D92" w14:textId="77777777" w:rsidR="000E5E4F" w:rsidRPr="00E65085" w:rsidRDefault="000E5E4F" w:rsidP="000E5E4F">
      <w:pPr>
        <w:spacing w:before="240" w:after="240"/>
        <w:jc w:val="both"/>
        <w:rPr>
          <w:b/>
          <w:bCs/>
        </w:rPr>
      </w:pPr>
      <w:r w:rsidRPr="00E65085">
        <w:rPr>
          <w:b/>
          <w:bCs/>
        </w:rPr>
        <w:t xml:space="preserve">Processing – </w:t>
      </w:r>
      <w:r w:rsidRPr="00E65085">
        <w:t>means collecting, amending, handling, storing or disclosing personal information</w:t>
      </w:r>
    </w:p>
    <w:p w14:paraId="3F7E676F" w14:textId="77777777" w:rsidR="000E5E4F" w:rsidRPr="00200D27" w:rsidRDefault="000E5E4F" w:rsidP="000E5E4F">
      <w:pPr>
        <w:spacing w:before="240" w:after="240"/>
        <w:jc w:val="both"/>
      </w:pPr>
      <w:r w:rsidRPr="00E65085">
        <w:rPr>
          <w:b/>
          <w:bCs/>
        </w:rPr>
        <w:t>Personal Information</w:t>
      </w:r>
      <w:r w:rsidRPr="00E65085">
        <w:t xml:space="preserve"> – Information about living individuals that enables them to be identified – e.g. name and address. It does not apply to information about organisations, companies and agencies but applies to named persons, such as i</w:t>
      </w:r>
      <w:r>
        <w:t>ndividual volunteers or contractors working on behalf of the charity.</w:t>
      </w:r>
    </w:p>
    <w:p w14:paraId="5B9A7AFF" w14:textId="7323108B" w:rsidR="000E5E4F" w:rsidRPr="00E65085" w:rsidRDefault="000E5E4F" w:rsidP="000E5E4F">
      <w:pPr>
        <w:pStyle w:val="ListBullet"/>
        <w:jc w:val="both"/>
        <w:outlineLvl w:val="0"/>
        <w:rPr>
          <w:sz w:val="24"/>
        </w:rPr>
      </w:pPr>
      <w:r w:rsidRPr="00E65085">
        <w:rPr>
          <w:sz w:val="24"/>
        </w:rPr>
        <w:t xml:space="preserve">Sensitive </w:t>
      </w:r>
      <w:r w:rsidR="00EE26B4">
        <w:rPr>
          <w:sz w:val="24"/>
        </w:rPr>
        <w:t xml:space="preserve">or special category </w:t>
      </w:r>
      <w:r w:rsidRPr="00E65085">
        <w:rPr>
          <w:sz w:val="24"/>
        </w:rPr>
        <w:t xml:space="preserve">data </w:t>
      </w:r>
      <w:r w:rsidRPr="00E65085">
        <w:rPr>
          <w:bCs w:val="0"/>
          <w:sz w:val="24"/>
        </w:rPr>
        <w:t>– means data about:</w:t>
      </w:r>
    </w:p>
    <w:p w14:paraId="506D6C11" w14:textId="77777777" w:rsidR="000E5E4F" w:rsidRPr="00E65085" w:rsidRDefault="000E5E4F" w:rsidP="000E5E4F">
      <w:pPr>
        <w:numPr>
          <w:ilvl w:val="0"/>
          <w:numId w:val="27"/>
        </w:numPr>
        <w:spacing w:after="0" w:line="240" w:lineRule="auto"/>
        <w:jc w:val="both"/>
      </w:pPr>
      <w:r w:rsidRPr="00E65085">
        <w:t>Racial or ethnic origin</w:t>
      </w:r>
    </w:p>
    <w:p w14:paraId="10D7A371" w14:textId="77777777" w:rsidR="000E5E4F" w:rsidRPr="00E65085" w:rsidRDefault="000E5E4F" w:rsidP="000E5E4F">
      <w:pPr>
        <w:numPr>
          <w:ilvl w:val="0"/>
          <w:numId w:val="27"/>
        </w:numPr>
        <w:spacing w:after="0" w:line="240" w:lineRule="auto"/>
        <w:jc w:val="both"/>
      </w:pPr>
      <w:r w:rsidRPr="00E65085">
        <w:t>Political opinions</w:t>
      </w:r>
    </w:p>
    <w:p w14:paraId="3BA5E2AB" w14:textId="77777777" w:rsidR="000E5E4F" w:rsidRPr="00E65085" w:rsidRDefault="000E5E4F" w:rsidP="000E5E4F">
      <w:pPr>
        <w:numPr>
          <w:ilvl w:val="0"/>
          <w:numId w:val="27"/>
        </w:numPr>
        <w:spacing w:after="0" w:line="240" w:lineRule="auto"/>
        <w:jc w:val="both"/>
      </w:pPr>
      <w:r w:rsidRPr="00E65085">
        <w:t>Religious or similar beliefs</w:t>
      </w:r>
    </w:p>
    <w:p w14:paraId="65F591EF" w14:textId="77777777" w:rsidR="000E5E4F" w:rsidRPr="00E65085" w:rsidRDefault="000E5E4F" w:rsidP="000E5E4F">
      <w:pPr>
        <w:numPr>
          <w:ilvl w:val="0"/>
          <w:numId w:val="27"/>
        </w:numPr>
        <w:spacing w:after="0" w:line="240" w:lineRule="auto"/>
        <w:jc w:val="both"/>
      </w:pPr>
      <w:r w:rsidRPr="00E65085">
        <w:t>Trade union membership</w:t>
      </w:r>
    </w:p>
    <w:p w14:paraId="18EC7989" w14:textId="77777777" w:rsidR="000E5E4F" w:rsidRPr="00E65085" w:rsidRDefault="000E5E4F" w:rsidP="000E5E4F">
      <w:pPr>
        <w:numPr>
          <w:ilvl w:val="0"/>
          <w:numId w:val="27"/>
        </w:numPr>
        <w:spacing w:after="0" w:line="240" w:lineRule="auto"/>
        <w:jc w:val="both"/>
      </w:pPr>
      <w:r w:rsidRPr="00E65085">
        <w:t>Physical or mental health</w:t>
      </w:r>
    </w:p>
    <w:p w14:paraId="42FF2BF9" w14:textId="77777777" w:rsidR="000E5E4F" w:rsidRPr="00E65085" w:rsidRDefault="000E5E4F" w:rsidP="000E5E4F">
      <w:pPr>
        <w:numPr>
          <w:ilvl w:val="0"/>
          <w:numId w:val="27"/>
        </w:numPr>
        <w:spacing w:after="0" w:line="240" w:lineRule="auto"/>
        <w:jc w:val="both"/>
      </w:pPr>
      <w:r w:rsidRPr="00E65085">
        <w:t>Sexual life</w:t>
      </w:r>
    </w:p>
    <w:p w14:paraId="5246D9EE" w14:textId="77777777" w:rsidR="000E5E4F" w:rsidRPr="00E65085" w:rsidRDefault="000E5E4F" w:rsidP="000E5E4F">
      <w:pPr>
        <w:numPr>
          <w:ilvl w:val="0"/>
          <w:numId w:val="27"/>
        </w:numPr>
        <w:spacing w:after="0" w:line="240" w:lineRule="auto"/>
        <w:jc w:val="both"/>
      </w:pPr>
      <w:r w:rsidRPr="00E65085">
        <w:t xml:space="preserve">Criminal record </w:t>
      </w:r>
    </w:p>
    <w:p w14:paraId="03235D93" w14:textId="77777777" w:rsidR="000E5E4F" w:rsidRPr="00E65085" w:rsidRDefault="000E5E4F" w:rsidP="000E5E4F">
      <w:pPr>
        <w:numPr>
          <w:ilvl w:val="0"/>
          <w:numId w:val="27"/>
        </w:numPr>
        <w:spacing w:after="0" w:line="240" w:lineRule="auto"/>
        <w:jc w:val="both"/>
        <w:rPr>
          <w:color w:val="000000"/>
          <w:u w:val="single"/>
        </w:rPr>
      </w:pPr>
      <w:r w:rsidRPr="00E65085">
        <w:t>Criminal proceedings relating to a data subject’s offences</w:t>
      </w:r>
    </w:p>
    <w:p w14:paraId="0B53A210" w14:textId="5B7ADAB9" w:rsidR="002D0EFB" w:rsidRDefault="00417285" w:rsidP="000E5E4F">
      <w:pPr>
        <w:spacing w:before="240" w:after="240"/>
        <w:jc w:val="both"/>
        <w:outlineLvl w:val="0"/>
        <w:rPr>
          <w:rStyle w:val="main1"/>
          <w:b/>
          <w:u w:val="single"/>
        </w:rPr>
      </w:pPr>
      <w:r>
        <w:rPr>
          <w:rStyle w:val="main1"/>
          <w:b/>
          <w:u w:val="single"/>
        </w:rPr>
        <w:lastRenderedPageBreak/>
        <w:t>G</w:t>
      </w:r>
      <w:r w:rsidR="001377CE">
        <w:rPr>
          <w:rStyle w:val="main1"/>
          <w:b/>
          <w:u w:val="single"/>
        </w:rPr>
        <w:t xml:space="preserve">DPR </w:t>
      </w:r>
      <w:r w:rsidR="00FD6703">
        <w:rPr>
          <w:rStyle w:val="main1"/>
          <w:b/>
          <w:u w:val="single"/>
        </w:rPr>
        <w:t>Requirements</w:t>
      </w:r>
    </w:p>
    <w:tbl>
      <w:tblPr>
        <w:tblStyle w:val="MediumList2-Accent5"/>
        <w:tblW w:w="7853" w:type="dxa"/>
        <w:tblInd w:w="794"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85" w:type="dxa"/>
          <w:left w:w="85" w:type="dxa"/>
          <w:bottom w:w="85" w:type="dxa"/>
          <w:right w:w="85" w:type="dxa"/>
        </w:tblCellMar>
        <w:tblLook w:val="0420" w:firstRow="1" w:lastRow="0" w:firstColumn="0" w:lastColumn="0" w:noHBand="0" w:noVBand="1"/>
      </w:tblPr>
      <w:tblGrid>
        <w:gridCol w:w="1701"/>
        <w:gridCol w:w="6152"/>
      </w:tblGrid>
      <w:tr w:rsidR="003E64D3" w:rsidRPr="00570B4B" w14:paraId="42B069A4" w14:textId="77777777" w:rsidTr="003E64D3">
        <w:trPr>
          <w:cnfStyle w:val="100000000000" w:firstRow="1" w:lastRow="0" w:firstColumn="0" w:lastColumn="0" w:oddVBand="0" w:evenVBand="0" w:oddHBand="0" w:evenHBand="0" w:firstRowFirstColumn="0" w:firstRowLastColumn="0" w:lastRowFirstColumn="0" w:lastRowLastColumn="0"/>
          <w:cantSplit/>
          <w:tblHeader/>
        </w:trPr>
        <w:tc>
          <w:tcPr>
            <w:tcW w:w="1701" w:type="dxa"/>
            <w:shd w:val="clear" w:color="auto" w:fill="8496B0" w:themeFill="text2" w:themeFillTint="99"/>
            <w:hideMark/>
          </w:tcPr>
          <w:p w14:paraId="60E8E7C2" w14:textId="2F204921" w:rsidR="003E64D3" w:rsidRPr="00570B4B" w:rsidRDefault="003E64D3" w:rsidP="007F43A2">
            <w:pPr>
              <w:rPr>
                <w:b/>
                <w:i/>
                <w:color w:val="FFFFFF" w:themeColor="background1"/>
                <w:sz w:val="18"/>
                <w:szCs w:val="20"/>
              </w:rPr>
            </w:pPr>
          </w:p>
        </w:tc>
        <w:tc>
          <w:tcPr>
            <w:tcW w:w="6152" w:type="dxa"/>
            <w:shd w:val="clear" w:color="auto" w:fill="8496B0" w:themeFill="text2" w:themeFillTint="99"/>
            <w:hideMark/>
          </w:tcPr>
          <w:p w14:paraId="620FD524" w14:textId="5AA03DD8" w:rsidR="003E64D3" w:rsidRPr="00570B4B" w:rsidRDefault="003E64D3" w:rsidP="007F43A2">
            <w:pPr>
              <w:rPr>
                <w:b/>
                <w:i/>
                <w:color w:val="FFFFFF" w:themeColor="background1"/>
                <w:sz w:val="18"/>
                <w:szCs w:val="20"/>
              </w:rPr>
            </w:pPr>
          </w:p>
        </w:tc>
      </w:tr>
      <w:tr w:rsidR="003E64D3" w:rsidRPr="00570B4B" w14:paraId="696B1F39" w14:textId="77777777" w:rsidTr="003E64D3">
        <w:trPr>
          <w:cnfStyle w:val="000000100000" w:firstRow="0" w:lastRow="0" w:firstColumn="0" w:lastColumn="0" w:oddVBand="0" w:evenVBand="0" w:oddHBand="1" w:evenHBand="0" w:firstRowFirstColumn="0" w:firstRowLastColumn="0" w:lastRowFirstColumn="0" w:lastRowLastColumn="0"/>
          <w:cantSplit/>
          <w:trHeight w:val="1013"/>
        </w:trPr>
        <w:tc>
          <w:tcPr>
            <w:tcW w:w="1701" w:type="dxa"/>
            <w:hideMark/>
          </w:tcPr>
          <w:p w14:paraId="04D1A24E" w14:textId="77777777" w:rsidR="003E64D3" w:rsidRPr="00570B4B" w:rsidRDefault="003E64D3" w:rsidP="007F43A2">
            <w:pPr>
              <w:rPr>
                <w:b/>
                <w:color w:val="5B9BD5" w:themeColor="accent1"/>
                <w:sz w:val="18"/>
                <w:szCs w:val="20"/>
              </w:rPr>
            </w:pPr>
            <w:r w:rsidRPr="00570B4B">
              <w:rPr>
                <w:b/>
                <w:color w:val="5B9BD5" w:themeColor="accent1"/>
                <w:sz w:val="18"/>
                <w:szCs w:val="20"/>
              </w:rPr>
              <w:t>Record Keeping</w:t>
            </w:r>
          </w:p>
          <w:p w14:paraId="794C491F" w14:textId="77777777" w:rsidR="003E64D3" w:rsidRPr="00570B4B" w:rsidRDefault="003E64D3" w:rsidP="007F43A2">
            <w:pPr>
              <w:rPr>
                <w:b/>
                <w:color w:val="5B9BD5" w:themeColor="accent1"/>
                <w:sz w:val="18"/>
                <w:szCs w:val="20"/>
              </w:rPr>
            </w:pPr>
          </w:p>
        </w:tc>
        <w:tc>
          <w:tcPr>
            <w:tcW w:w="6152" w:type="dxa"/>
            <w:hideMark/>
          </w:tcPr>
          <w:p w14:paraId="7E9E32B4" w14:textId="15E36F12" w:rsidR="003E64D3" w:rsidRPr="00570B4B" w:rsidRDefault="003E64D3" w:rsidP="007F43A2">
            <w:pPr>
              <w:rPr>
                <w:sz w:val="18"/>
                <w:szCs w:val="20"/>
              </w:rPr>
            </w:pPr>
            <w:r w:rsidRPr="00570B4B">
              <w:rPr>
                <w:sz w:val="18"/>
                <w:szCs w:val="20"/>
              </w:rPr>
              <w:t>Each Data Controller must maintain a record of processing activities under its responsibility.</w:t>
            </w:r>
            <w:r>
              <w:rPr>
                <w:sz w:val="18"/>
                <w:szCs w:val="20"/>
              </w:rPr>
              <w:t xml:space="preserve"> </w:t>
            </w:r>
            <w:r w:rsidRPr="00570B4B">
              <w:rPr>
                <w:sz w:val="18"/>
                <w:szCs w:val="20"/>
              </w:rPr>
              <w:t>Data Processors must also keep a record of the processing activities they carry out on behalf of a Data Controller.</w:t>
            </w:r>
            <w:r>
              <w:rPr>
                <w:sz w:val="18"/>
                <w:szCs w:val="20"/>
              </w:rPr>
              <w:t xml:space="preserve"> The log can be requested at any time by the ICO.</w:t>
            </w:r>
          </w:p>
        </w:tc>
      </w:tr>
      <w:tr w:rsidR="003E64D3" w:rsidRPr="00570B4B" w14:paraId="218A8922" w14:textId="77777777" w:rsidTr="003E64D3">
        <w:trPr>
          <w:cantSplit/>
        </w:trPr>
        <w:tc>
          <w:tcPr>
            <w:tcW w:w="1701" w:type="dxa"/>
            <w:hideMark/>
          </w:tcPr>
          <w:p w14:paraId="4D99C7FD" w14:textId="77777777" w:rsidR="003E64D3" w:rsidRPr="00570B4B" w:rsidRDefault="003E64D3" w:rsidP="007F43A2">
            <w:pPr>
              <w:rPr>
                <w:b/>
                <w:color w:val="5B9BD5" w:themeColor="accent1"/>
                <w:sz w:val="18"/>
                <w:szCs w:val="20"/>
              </w:rPr>
            </w:pPr>
            <w:r w:rsidRPr="00570B4B">
              <w:rPr>
                <w:b/>
                <w:color w:val="5B9BD5" w:themeColor="accent1"/>
                <w:sz w:val="18"/>
                <w:szCs w:val="20"/>
              </w:rPr>
              <w:t>Privacy Notices</w:t>
            </w:r>
          </w:p>
        </w:tc>
        <w:tc>
          <w:tcPr>
            <w:tcW w:w="6152" w:type="dxa"/>
            <w:hideMark/>
          </w:tcPr>
          <w:p w14:paraId="1F9A1F89" w14:textId="498BCF77" w:rsidR="003E64D3" w:rsidRPr="00570B4B" w:rsidRDefault="003E64D3" w:rsidP="007F43A2">
            <w:pPr>
              <w:rPr>
                <w:sz w:val="18"/>
                <w:szCs w:val="20"/>
              </w:rPr>
            </w:pPr>
            <w:r w:rsidRPr="00570B4B">
              <w:rPr>
                <w:sz w:val="18"/>
                <w:szCs w:val="20"/>
              </w:rPr>
              <w:t>Under the GDPR, privacy notices must contain information</w:t>
            </w:r>
            <w:r>
              <w:rPr>
                <w:sz w:val="18"/>
                <w:szCs w:val="20"/>
              </w:rPr>
              <w:t xml:space="preserve"> tp be </w:t>
            </w:r>
            <w:r w:rsidRPr="00570B4B">
              <w:rPr>
                <w:sz w:val="18"/>
                <w:szCs w:val="20"/>
              </w:rPr>
              <w:t xml:space="preserve">transparent, use clear and plain language, and must be easily accessible.  </w:t>
            </w:r>
          </w:p>
        </w:tc>
      </w:tr>
      <w:tr w:rsidR="003E64D3" w:rsidRPr="00570B4B" w14:paraId="4D0EEBDF" w14:textId="77777777" w:rsidTr="003E64D3">
        <w:trPr>
          <w:cnfStyle w:val="000000100000" w:firstRow="0" w:lastRow="0" w:firstColumn="0" w:lastColumn="0" w:oddVBand="0" w:evenVBand="0" w:oddHBand="1" w:evenHBand="0" w:firstRowFirstColumn="0" w:firstRowLastColumn="0" w:lastRowFirstColumn="0" w:lastRowLastColumn="0"/>
          <w:cantSplit/>
          <w:trHeight w:val="947"/>
        </w:trPr>
        <w:tc>
          <w:tcPr>
            <w:tcW w:w="1701" w:type="dxa"/>
          </w:tcPr>
          <w:p w14:paraId="5ABBB2D8" w14:textId="77777777" w:rsidR="003E64D3" w:rsidRPr="00570B4B" w:rsidRDefault="003E64D3" w:rsidP="007F43A2">
            <w:pPr>
              <w:rPr>
                <w:b/>
                <w:color w:val="5B9BD5" w:themeColor="accent1"/>
                <w:sz w:val="18"/>
                <w:szCs w:val="20"/>
              </w:rPr>
            </w:pPr>
            <w:r w:rsidRPr="00570B4B">
              <w:rPr>
                <w:b/>
                <w:color w:val="5B9BD5" w:themeColor="accent1"/>
                <w:sz w:val="18"/>
                <w:szCs w:val="20"/>
              </w:rPr>
              <w:t>Consent</w:t>
            </w:r>
          </w:p>
        </w:tc>
        <w:tc>
          <w:tcPr>
            <w:tcW w:w="6152" w:type="dxa"/>
          </w:tcPr>
          <w:p w14:paraId="6DC8EBF9" w14:textId="3071E104" w:rsidR="003E64D3" w:rsidRPr="00570B4B" w:rsidRDefault="003E64D3" w:rsidP="007F43A2">
            <w:pPr>
              <w:rPr>
                <w:sz w:val="18"/>
                <w:szCs w:val="20"/>
              </w:rPr>
            </w:pPr>
            <w:r>
              <w:rPr>
                <w:sz w:val="18"/>
                <w:szCs w:val="20"/>
              </w:rPr>
              <w:t>I</w:t>
            </w:r>
            <w:r w:rsidRPr="00570B4B">
              <w:rPr>
                <w:sz w:val="18"/>
                <w:szCs w:val="20"/>
              </w:rPr>
              <w:t>ndividuals have rights to decide how their data is processed.</w:t>
            </w:r>
            <w:r>
              <w:rPr>
                <w:sz w:val="18"/>
                <w:szCs w:val="20"/>
              </w:rPr>
              <w:t xml:space="preserve"> </w:t>
            </w:r>
            <w:r w:rsidRPr="00570B4B">
              <w:rPr>
                <w:sz w:val="18"/>
                <w:szCs w:val="20"/>
              </w:rPr>
              <w:t>The types of processing activities which require the consent of an individual need to be identified and consents must be captured in a GDPR compliant manner.</w:t>
            </w:r>
            <w:r>
              <w:rPr>
                <w:sz w:val="18"/>
                <w:szCs w:val="20"/>
              </w:rPr>
              <w:t xml:space="preserve"> </w:t>
            </w:r>
            <w:r w:rsidRPr="00570B4B">
              <w:rPr>
                <w:sz w:val="18"/>
                <w:szCs w:val="20"/>
              </w:rPr>
              <w:t xml:space="preserve">Where processing personal data is based on consent, </w:t>
            </w:r>
            <w:r>
              <w:rPr>
                <w:sz w:val="18"/>
                <w:szCs w:val="20"/>
              </w:rPr>
              <w:t>an organisation</w:t>
            </w:r>
            <w:r w:rsidRPr="00570B4B">
              <w:rPr>
                <w:sz w:val="18"/>
                <w:szCs w:val="20"/>
              </w:rPr>
              <w:t xml:space="preserve"> must be able to evidence the consent.</w:t>
            </w:r>
            <w:r>
              <w:rPr>
                <w:sz w:val="18"/>
                <w:szCs w:val="20"/>
              </w:rPr>
              <w:t xml:space="preserve"> </w:t>
            </w:r>
            <w:r w:rsidRPr="00570B4B">
              <w:rPr>
                <w:sz w:val="18"/>
                <w:szCs w:val="20"/>
              </w:rPr>
              <w:t>Consent must be by an “opt in” method.</w:t>
            </w:r>
          </w:p>
        </w:tc>
      </w:tr>
      <w:tr w:rsidR="003E64D3" w:rsidRPr="00570B4B" w14:paraId="430D84E0" w14:textId="77777777" w:rsidTr="003E64D3">
        <w:trPr>
          <w:cantSplit/>
          <w:trHeight w:val="947"/>
        </w:trPr>
        <w:tc>
          <w:tcPr>
            <w:tcW w:w="1701" w:type="dxa"/>
          </w:tcPr>
          <w:p w14:paraId="507BA92C" w14:textId="77777777" w:rsidR="003E64D3" w:rsidRPr="00570B4B" w:rsidRDefault="003E64D3" w:rsidP="007F43A2">
            <w:pPr>
              <w:rPr>
                <w:b/>
                <w:color w:val="5B9BD5" w:themeColor="accent1"/>
                <w:sz w:val="18"/>
                <w:szCs w:val="20"/>
              </w:rPr>
            </w:pPr>
            <w:r w:rsidRPr="00570B4B">
              <w:rPr>
                <w:b/>
                <w:color w:val="5B9BD5" w:themeColor="accent1"/>
                <w:sz w:val="18"/>
                <w:szCs w:val="20"/>
              </w:rPr>
              <w:t>Breaches</w:t>
            </w:r>
          </w:p>
          <w:p w14:paraId="3315CAB0" w14:textId="77777777" w:rsidR="003E64D3" w:rsidRPr="00570B4B" w:rsidRDefault="003E64D3" w:rsidP="007F43A2">
            <w:pPr>
              <w:rPr>
                <w:b/>
                <w:color w:val="5B9BD5" w:themeColor="accent1"/>
                <w:sz w:val="18"/>
                <w:szCs w:val="20"/>
              </w:rPr>
            </w:pPr>
          </w:p>
        </w:tc>
        <w:tc>
          <w:tcPr>
            <w:tcW w:w="6152" w:type="dxa"/>
          </w:tcPr>
          <w:p w14:paraId="660D8346" w14:textId="77777777" w:rsidR="003E64D3" w:rsidRPr="00570B4B" w:rsidRDefault="003E64D3" w:rsidP="007F43A2">
            <w:pPr>
              <w:rPr>
                <w:sz w:val="18"/>
                <w:szCs w:val="20"/>
              </w:rPr>
            </w:pPr>
            <w:r w:rsidRPr="00570B4B">
              <w:rPr>
                <w:sz w:val="18"/>
                <w:szCs w:val="20"/>
              </w:rPr>
              <w:t>Data Controllers must report personal certain types of data breaches to the ICO without ‘undue delay’, and where possible no later than 72 hours after having become aware of the breach.</w:t>
            </w:r>
            <w:r>
              <w:rPr>
                <w:sz w:val="18"/>
                <w:szCs w:val="20"/>
              </w:rPr>
              <w:t xml:space="preserve"> </w:t>
            </w:r>
            <w:r w:rsidRPr="00570B4B">
              <w:rPr>
                <w:sz w:val="18"/>
                <w:szCs w:val="20"/>
              </w:rPr>
              <w:t>An individual who has suffered damage as a result of a breach can claim compensation from the Data Controller or the Data Processor.</w:t>
            </w:r>
            <w:r>
              <w:rPr>
                <w:sz w:val="18"/>
                <w:szCs w:val="20"/>
              </w:rPr>
              <w:t xml:space="preserve"> </w:t>
            </w:r>
          </w:p>
        </w:tc>
      </w:tr>
      <w:tr w:rsidR="003E64D3" w:rsidRPr="00570B4B" w14:paraId="4D9D5BBF" w14:textId="77777777" w:rsidTr="003E64D3">
        <w:trPr>
          <w:cnfStyle w:val="000000100000" w:firstRow="0" w:lastRow="0" w:firstColumn="0" w:lastColumn="0" w:oddVBand="0" w:evenVBand="0" w:oddHBand="1" w:evenHBand="0" w:firstRowFirstColumn="0" w:firstRowLastColumn="0" w:lastRowFirstColumn="0" w:lastRowLastColumn="0"/>
          <w:cantSplit/>
          <w:trHeight w:val="947"/>
        </w:trPr>
        <w:tc>
          <w:tcPr>
            <w:tcW w:w="1701" w:type="dxa"/>
          </w:tcPr>
          <w:p w14:paraId="78AF4C2E" w14:textId="77777777" w:rsidR="003E64D3" w:rsidRPr="00570B4B" w:rsidRDefault="003E64D3" w:rsidP="007F43A2">
            <w:pPr>
              <w:rPr>
                <w:b/>
                <w:color w:val="5B9BD5" w:themeColor="accent1"/>
                <w:sz w:val="18"/>
                <w:szCs w:val="20"/>
              </w:rPr>
            </w:pPr>
            <w:r w:rsidRPr="00570B4B">
              <w:rPr>
                <w:b/>
                <w:color w:val="5B9BD5" w:themeColor="accent1"/>
                <w:sz w:val="18"/>
                <w:szCs w:val="20"/>
              </w:rPr>
              <w:t xml:space="preserve">Right of Access </w:t>
            </w:r>
            <w:r w:rsidRPr="00570B4B">
              <w:rPr>
                <w:b/>
                <w:color w:val="5B9BD5" w:themeColor="accent1"/>
                <w:sz w:val="18"/>
                <w:szCs w:val="20"/>
              </w:rPr>
              <w:br/>
              <w:t>(Subject Access Requests)</w:t>
            </w:r>
          </w:p>
          <w:p w14:paraId="780A737F" w14:textId="77777777" w:rsidR="003E64D3" w:rsidRPr="00570B4B" w:rsidRDefault="003E64D3" w:rsidP="007F43A2">
            <w:pPr>
              <w:rPr>
                <w:b/>
                <w:color w:val="5B9BD5" w:themeColor="accent1"/>
                <w:sz w:val="18"/>
                <w:szCs w:val="20"/>
              </w:rPr>
            </w:pPr>
          </w:p>
        </w:tc>
        <w:tc>
          <w:tcPr>
            <w:tcW w:w="6152" w:type="dxa"/>
          </w:tcPr>
          <w:p w14:paraId="43FDD9D4" w14:textId="005B3C98" w:rsidR="003E64D3" w:rsidRPr="00570B4B" w:rsidRDefault="003E64D3" w:rsidP="007F43A2">
            <w:pPr>
              <w:rPr>
                <w:sz w:val="18"/>
                <w:szCs w:val="20"/>
              </w:rPr>
            </w:pPr>
            <w:r w:rsidRPr="00570B4B">
              <w:rPr>
                <w:sz w:val="18"/>
                <w:szCs w:val="20"/>
              </w:rPr>
              <w:t xml:space="preserve">The time limit to comply with a Subject Access Request (“SAR”) </w:t>
            </w:r>
            <w:r>
              <w:rPr>
                <w:sz w:val="18"/>
                <w:szCs w:val="20"/>
              </w:rPr>
              <w:t xml:space="preserve">is </w:t>
            </w:r>
            <w:r w:rsidRPr="00570B4B">
              <w:rPr>
                <w:sz w:val="18"/>
                <w:szCs w:val="20"/>
              </w:rPr>
              <w:t>one calendar mon</w:t>
            </w:r>
            <w:r>
              <w:rPr>
                <w:sz w:val="18"/>
                <w:szCs w:val="20"/>
              </w:rPr>
              <w:t>th.</w:t>
            </w:r>
            <w:r w:rsidRPr="00570B4B">
              <w:rPr>
                <w:sz w:val="18"/>
                <w:szCs w:val="20"/>
              </w:rPr>
              <w:t xml:space="preserve"> SARs are free of charge.</w:t>
            </w:r>
          </w:p>
        </w:tc>
      </w:tr>
      <w:tr w:rsidR="003E64D3" w:rsidRPr="00570B4B" w14:paraId="702708AB" w14:textId="77777777" w:rsidTr="003E64D3">
        <w:trPr>
          <w:cantSplit/>
        </w:trPr>
        <w:tc>
          <w:tcPr>
            <w:tcW w:w="1701" w:type="dxa"/>
          </w:tcPr>
          <w:p w14:paraId="28D586BB" w14:textId="77777777" w:rsidR="003E64D3" w:rsidRPr="00570B4B" w:rsidRDefault="003E64D3" w:rsidP="007F43A2">
            <w:pPr>
              <w:rPr>
                <w:b/>
                <w:color w:val="5B9BD5" w:themeColor="accent1"/>
                <w:sz w:val="18"/>
                <w:szCs w:val="20"/>
              </w:rPr>
            </w:pPr>
            <w:r w:rsidRPr="00570B4B">
              <w:rPr>
                <w:b/>
                <w:color w:val="5B9BD5" w:themeColor="accent1"/>
                <w:sz w:val="18"/>
                <w:szCs w:val="20"/>
              </w:rPr>
              <w:t>Data Privacy Impact Assessments (“DPIA”)</w:t>
            </w:r>
          </w:p>
          <w:p w14:paraId="229E6D55" w14:textId="77777777" w:rsidR="003E64D3" w:rsidRPr="00570B4B" w:rsidRDefault="003E64D3" w:rsidP="007F43A2">
            <w:pPr>
              <w:rPr>
                <w:b/>
                <w:color w:val="5B9BD5" w:themeColor="accent1"/>
                <w:sz w:val="18"/>
                <w:szCs w:val="20"/>
              </w:rPr>
            </w:pPr>
          </w:p>
        </w:tc>
        <w:tc>
          <w:tcPr>
            <w:tcW w:w="6152" w:type="dxa"/>
          </w:tcPr>
          <w:p w14:paraId="32D50E9A" w14:textId="7932CAD2" w:rsidR="003E64D3" w:rsidRPr="00570B4B" w:rsidRDefault="003E64D3" w:rsidP="007F43A2">
            <w:pPr>
              <w:rPr>
                <w:sz w:val="18"/>
                <w:szCs w:val="20"/>
              </w:rPr>
            </w:pPr>
            <w:r w:rsidRPr="00570B4B">
              <w:rPr>
                <w:sz w:val="18"/>
                <w:szCs w:val="20"/>
              </w:rPr>
              <w:t>The GDPR makes it mandatory for DPIAs to be carried out in certain situations</w:t>
            </w:r>
            <w:r>
              <w:rPr>
                <w:sz w:val="18"/>
                <w:szCs w:val="20"/>
              </w:rPr>
              <w:t xml:space="preserve">, eg where new technologies are introduced for high risk processing activities or where there is extensive use of automated processing. </w:t>
            </w:r>
            <w:r>
              <w:rPr>
                <w:sz w:val="18"/>
                <w:szCs w:val="20"/>
              </w:rPr>
              <w:t xml:space="preserve"> </w:t>
            </w:r>
            <w:r w:rsidRPr="00570B4B">
              <w:rPr>
                <w:sz w:val="18"/>
                <w:szCs w:val="20"/>
              </w:rPr>
              <w:t>DPIAs will need to contain a description of the processing and the purpose of the processing and need to identify any risks to the personal data and the rights and freedoms of individuals, and the measures and safeguards implemented to mitigate these risks.</w:t>
            </w:r>
            <w:r>
              <w:rPr>
                <w:sz w:val="18"/>
                <w:szCs w:val="20"/>
              </w:rPr>
              <w:t xml:space="preserve"> </w:t>
            </w:r>
          </w:p>
        </w:tc>
      </w:tr>
      <w:tr w:rsidR="003E64D3" w:rsidRPr="00570B4B" w14:paraId="10AEEFE6" w14:textId="77777777" w:rsidTr="003E64D3">
        <w:trPr>
          <w:cnfStyle w:val="000000100000" w:firstRow="0" w:lastRow="0" w:firstColumn="0" w:lastColumn="0" w:oddVBand="0" w:evenVBand="0" w:oddHBand="1" w:evenHBand="0" w:firstRowFirstColumn="0" w:firstRowLastColumn="0" w:lastRowFirstColumn="0" w:lastRowLastColumn="0"/>
          <w:cantSplit/>
          <w:trHeight w:val="947"/>
        </w:trPr>
        <w:tc>
          <w:tcPr>
            <w:tcW w:w="1701" w:type="dxa"/>
          </w:tcPr>
          <w:p w14:paraId="24847093" w14:textId="77777777" w:rsidR="003E64D3" w:rsidRPr="00570B4B" w:rsidRDefault="003E64D3" w:rsidP="007F43A2">
            <w:pPr>
              <w:rPr>
                <w:b/>
                <w:color w:val="5B9BD5" w:themeColor="accent1"/>
                <w:sz w:val="18"/>
                <w:szCs w:val="20"/>
              </w:rPr>
            </w:pPr>
            <w:r w:rsidRPr="00570B4B">
              <w:rPr>
                <w:b/>
                <w:color w:val="5B9BD5" w:themeColor="accent1"/>
                <w:sz w:val="18"/>
                <w:szCs w:val="20"/>
              </w:rPr>
              <w:t>Privacy by Design</w:t>
            </w:r>
          </w:p>
          <w:p w14:paraId="07DF72F9" w14:textId="77777777" w:rsidR="003E64D3" w:rsidRPr="00570B4B" w:rsidRDefault="003E64D3" w:rsidP="007F43A2">
            <w:pPr>
              <w:rPr>
                <w:b/>
                <w:color w:val="5B9BD5" w:themeColor="accent1"/>
                <w:sz w:val="18"/>
                <w:szCs w:val="20"/>
              </w:rPr>
            </w:pPr>
          </w:p>
        </w:tc>
        <w:tc>
          <w:tcPr>
            <w:tcW w:w="6152" w:type="dxa"/>
          </w:tcPr>
          <w:p w14:paraId="224A7D72" w14:textId="77777777" w:rsidR="003E64D3" w:rsidRPr="00570B4B" w:rsidRDefault="003E64D3" w:rsidP="007F43A2">
            <w:pPr>
              <w:rPr>
                <w:sz w:val="18"/>
                <w:szCs w:val="20"/>
              </w:rPr>
            </w:pPr>
            <w:r w:rsidRPr="00570B4B">
              <w:rPr>
                <w:sz w:val="18"/>
                <w:szCs w:val="20"/>
              </w:rPr>
              <w:t>When developing, designing or using services or applications which involve processing personal data, Data Controllers and Processors should adopt internal policies and measures to ensure personal data is protected.</w:t>
            </w:r>
          </w:p>
        </w:tc>
      </w:tr>
      <w:tr w:rsidR="003E64D3" w:rsidRPr="00570B4B" w14:paraId="1224C619" w14:textId="77777777" w:rsidTr="003E64D3">
        <w:trPr>
          <w:cantSplit/>
          <w:trHeight w:val="947"/>
        </w:trPr>
        <w:tc>
          <w:tcPr>
            <w:tcW w:w="1701" w:type="dxa"/>
            <w:hideMark/>
          </w:tcPr>
          <w:p w14:paraId="2235F33E" w14:textId="77777777" w:rsidR="003E64D3" w:rsidRPr="00570B4B" w:rsidRDefault="003E64D3" w:rsidP="007F43A2">
            <w:pPr>
              <w:rPr>
                <w:b/>
                <w:color w:val="5B9BD5" w:themeColor="accent1"/>
                <w:sz w:val="18"/>
                <w:szCs w:val="20"/>
              </w:rPr>
            </w:pPr>
            <w:r w:rsidRPr="00570B4B">
              <w:rPr>
                <w:b/>
                <w:color w:val="5B9BD5" w:themeColor="accent1"/>
                <w:sz w:val="18"/>
                <w:szCs w:val="20"/>
              </w:rPr>
              <w:t>Right to Object to processing</w:t>
            </w:r>
          </w:p>
          <w:p w14:paraId="0AC15D34" w14:textId="77777777" w:rsidR="003E64D3" w:rsidRPr="00570B4B" w:rsidRDefault="003E64D3" w:rsidP="007F43A2">
            <w:pPr>
              <w:rPr>
                <w:b/>
                <w:color w:val="5B9BD5" w:themeColor="accent1"/>
                <w:sz w:val="18"/>
                <w:szCs w:val="20"/>
              </w:rPr>
            </w:pPr>
          </w:p>
        </w:tc>
        <w:tc>
          <w:tcPr>
            <w:tcW w:w="6152" w:type="dxa"/>
            <w:hideMark/>
          </w:tcPr>
          <w:p w14:paraId="372158E7" w14:textId="3EAAC3FB" w:rsidR="003E64D3" w:rsidRPr="00570B4B" w:rsidRDefault="003E64D3" w:rsidP="007F43A2">
            <w:pPr>
              <w:rPr>
                <w:sz w:val="18"/>
                <w:szCs w:val="20"/>
              </w:rPr>
            </w:pPr>
            <w:r w:rsidRPr="00570B4B">
              <w:rPr>
                <w:sz w:val="18"/>
                <w:szCs w:val="20"/>
              </w:rPr>
              <w:t>Individuals must be advised of their right to opt out of processing activities, including marketing.</w:t>
            </w:r>
            <w:r>
              <w:rPr>
                <w:sz w:val="18"/>
                <w:szCs w:val="20"/>
              </w:rPr>
              <w:t xml:space="preserve"> </w:t>
            </w:r>
            <w:r w:rsidRPr="00570B4B">
              <w:rPr>
                <w:sz w:val="18"/>
                <w:szCs w:val="20"/>
              </w:rPr>
              <w:t>Any reasonable requests to object to processing should be stored and evidenced.</w:t>
            </w:r>
            <w:r>
              <w:rPr>
                <w:sz w:val="18"/>
                <w:szCs w:val="20"/>
              </w:rPr>
              <w:t xml:space="preserve"> </w:t>
            </w:r>
            <w:r w:rsidRPr="00570B4B">
              <w:rPr>
                <w:sz w:val="18"/>
                <w:szCs w:val="20"/>
              </w:rPr>
              <w:t xml:space="preserve"> </w:t>
            </w:r>
          </w:p>
        </w:tc>
      </w:tr>
      <w:tr w:rsidR="003E64D3" w:rsidRPr="00570B4B" w14:paraId="7E051A1F" w14:textId="77777777" w:rsidTr="003E64D3">
        <w:trPr>
          <w:cnfStyle w:val="000000100000" w:firstRow="0" w:lastRow="0" w:firstColumn="0" w:lastColumn="0" w:oddVBand="0" w:evenVBand="0" w:oddHBand="1" w:evenHBand="0" w:firstRowFirstColumn="0" w:firstRowLastColumn="0" w:lastRowFirstColumn="0" w:lastRowLastColumn="0"/>
          <w:cantSplit/>
          <w:trHeight w:val="1250"/>
        </w:trPr>
        <w:tc>
          <w:tcPr>
            <w:tcW w:w="1701" w:type="dxa"/>
            <w:hideMark/>
          </w:tcPr>
          <w:p w14:paraId="27D05FE3" w14:textId="77777777" w:rsidR="003E64D3" w:rsidRPr="00570B4B" w:rsidRDefault="003E64D3" w:rsidP="007F43A2">
            <w:pPr>
              <w:rPr>
                <w:b/>
                <w:color w:val="5B9BD5" w:themeColor="accent1"/>
                <w:sz w:val="18"/>
                <w:szCs w:val="20"/>
              </w:rPr>
            </w:pPr>
            <w:r w:rsidRPr="00570B4B">
              <w:rPr>
                <w:b/>
                <w:color w:val="5B9BD5" w:themeColor="accent1"/>
                <w:sz w:val="18"/>
                <w:szCs w:val="20"/>
              </w:rPr>
              <w:t>Right to Erasure</w:t>
            </w:r>
          </w:p>
          <w:p w14:paraId="7FFB40C8" w14:textId="77777777" w:rsidR="003E64D3" w:rsidRPr="00570B4B" w:rsidRDefault="003E64D3" w:rsidP="007F43A2">
            <w:pPr>
              <w:rPr>
                <w:b/>
                <w:color w:val="5B9BD5" w:themeColor="accent1"/>
                <w:sz w:val="18"/>
                <w:szCs w:val="20"/>
              </w:rPr>
            </w:pPr>
          </w:p>
        </w:tc>
        <w:tc>
          <w:tcPr>
            <w:tcW w:w="6152" w:type="dxa"/>
            <w:hideMark/>
          </w:tcPr>
          <w:p w14:paraId="64F13722" w14:textId="77777777" w:rsidR="003E64D3" w:rsidRPr="00570B4B" w:rsidRDefault="003E64D3" w:rsidP="007F43A2">
            <w:pPr>
              <w:rPr>
                <w:sz w:val="18"/>
                <w:szCs w:val="20"/>
              </w:rPr>
            </w:pPr>
            <w:r w:rsidRPr="00570B4B">
              <w:rPr>
                <w:sz w:val="18"/>
                <w:szCs w:val="20"/>
              </w:rPr>
              <w:t>An individual has a right to request that their personal data is deleted.</w:t>
            </w:r>
            <w:r>
              <w:rPr>
                <w:sz w:val="18"/>
                <w:szCs w:val="20"/>
              </w:rPr>
              <w:t xml:space="preserve"> </w:t>
            </w:r>
            <w:r w:rsidRPr="00570B4B">
              <w:rPr>
                <w:sz w:val="18"/>
                <w:szCs w:val="20"/>
              </w:rPr>
              <w:t>A Data Controller must delete personal data unless there is a legal obligation to retain the personal data.</w:t>
            </w:r>
          </w:p>
        </w:tc>
      </w:tr>
      <w:tr w:rsidR="003E64D3" w:rsidRPr="00570B4B" w14:paraId="01298281" w14:textId="77777777" w:rsidTr="003E64D3">
        <w:trPr>
          <w:cantSplit/>
          <w:trHeight w:val="1244"/>
        </w:trPr>
        <w:tc>
          <w:tcPr>
            <w:tcW w:w="1701" w:type="dxa"/>
            <w:hideMark/>
          </w:tcPr>
          <w:p w14:paraId="24C8033C" w14:textId="77777777" w:rsidR="003E64D3" w:rsidRPr="00570B4B" w:rsidRDefault="003E64D3" w:rsidP="007F43A2">
            <w:pPr>
              <w:rPr>
                <w:b/>
                <w:color w:val="5B9BD5" w:themeColor="accent1"/>
                <w:sz w:val="18"/>
                <w:szCs w:val="20"/>
              </w:rPr>
            </w:pPr>
            <w:r w:rsidRPr="00570B4B">
              <w:rPr>
                <w:b/>
                <w:color w:val="5B9BD5" w:themeColor="accent1"/>
                <w:sz w:val="18"/>
                <w:szCs w:val="20"/>
              </w:rPr>
              <w:t>Profiling</w:t>
            </w:r>
          </w:p>
          <w:p w14:paraId="2830E4E6" w14:textId="77777777" w:rsidR="003E64D3" w:rsidRPr="00570B4B" w:rsidRDefault="003E64D3" w:rsidP="007F43A2">
            <w:pPr>
              <w:rPr>
                <w:b/>
                <w:color w:val="5B9BD5" w:themeColor="accent1"/>
                <w:sz w:val="18"/>
                <w:szCs w:val="20"/>
              </w:rPr>
            </w:pPr>
          </w:p>
        </w:tc>
        <w:tc>
          <w:tcPr>
            <w:tcW w:w="6152" w:type="dxa"/>
            <w:hideMark/>
          </w:tcPr>
          <w:p w14:paraId="76CA05B2" w14:textId="77777777" w:rsidR="003E64D3" w:rsidRPr="00570B4B" w:rsidRDefault="003E64D3" w:rsidP="007F43A2">
            <w:pPr>
              <w:rPr>
                <w:sz w:val="18"/>
                <w:szCs w:val="20"/>
              </w:rPr>
            </w:pPr>
            <w:r w:rsidRPr="00570B4B">
              <w:rPr>
                <w:sz w:val="18"/>
                <w:szCs w:val="20"/>
              </w:rPr>
              <w:t>An individual has the right not to be subject to a decision based solely on “automated processing”, including profiling.</w:t>
            </w:r>
            <w:r>
              <w:rPr>
                <w:sz w:val="18"/>
                <w:szCs w:val="20"/>
              </w:rPr>
              <w:t xml:space="preserve"> </w:t>
            </w:r>
            <w:r w:rsidRPr="00570B4B">
              <w:rPr>
                <w:sz w:val="18"/>
                <w:szCs w:val="20"/>
              </w:rPr>
              <w:t>This is where a computer, or computer software rather than a human makes a decision about an individual.</w:t>
            </w:r>
          </w:p>
        </w:tc>
      </w:tr>
      <w:tr w:rsidR="003E64D3" w:rsidRPr="00570B4B" w14:paraId="167C5142" w14:textId="77777777" w:rsidTr="003E64D3">
        <w:trPr>
          <w:cnfStyle w:val="000000100000" w:firstRow="0" w:lastRow="0" w:firstColumn="0" w:lastColumn="0" w:oddVBand="0" w:evenVBand="0" w:oddHBand="1" w:evenHBand="0" w:firstRowFirstColumn="0" w:firstRowLastColumn="0" w:lastRowFirstColumn="0" w:lastRowLastColumn="0"/>
          <w:cantSplit/>
          <w:trHeight w:val="947"/>
        </w:trPr>
        <w:tc>
          <w:tcPr>
            <w:tcW w:w="1701" w:type="dxa"/>
          </w:tcPr>
          <w:p w14:paraId="308038AD" w14:textId="77777777" w:rsidR="003E64D3" w:rsidRPr="00570B4B" w:rsidRDefault="003E64D3" w:rsidP="007F43A2">
            <w:pPr>
              <w:rPr>
                <w:b/>
                <w:color w:val="5B9BD5" w:themeColor="accent1"/>
                <w:sz w:val="18"/>
                <w:szCs w:val="20"/>
              </w:rPr>
            </w:pPr>
            <w:r w:rsidRPr="00570B4B">
              <w:rPr>
                <w:b/>
                <w:color w:val="5B9BD5" w:themeColor="accent1"/>
                <w:sz w:val="18"/>
                <w:szCs w:val="20"/>
              </w:rPr>
              <w:t>Data Protection Officer</w:t>
            </w:r>
          </w:p>
        </w:tc>
        <w:tc>
          <w:tcPr>
            <w:tcW w:w="6152" w:type="dxa"/>
          </w:tcPr>
          <w:p w14:paraId="420B05F6" w14:textId="7284B20F" w:rsidR="003E64D3" w:rsidRPr="00570B4B" w:rsidRDefault="003E64D3" w:rsidP="007F43A2">
            <w:pPr>
              <w:rPr>
                <w:sz w:val="18"/>
                <w:szCs w:val="20"/>
              </w:rPr>
            </w:pPr>
            <w:r w:rsidRPr="00570B4B">
              <w:rPr>
                <w:sz w:val="18"/>
                <w:szCs w:val="20"/>
              </w:rPr>
              <w:t xml:space="preserve">A Data Protection Officer (DPO) </w:t>
            </w:r>
            <w:r>
              <w:rPr>
                <w:sz w:val="18"/>
                <w:szCs w:val="20"/>
              </w:rPr>
              <w:t>may</w:t>
            </w:r>
            <w:r w:rsidRPr="00570B4B">
              <w:rPr>
                <w:sz w:val="18"/>
                <w:szCs w:val="20"/>
              </w:rPr>
              <w:t xml:space="preserve"> need to be appointed </w:t>
            </w:r>
            <w:r>
              <w:rPr>
                <w:sz w:val="18"/>
                <w:szCs w:val="20"/>
              </w:rPr>
              <w:t>where</w:t>
            </w:r>
            <w:r>
              <w:rPr>
                <w:sz w:val="18"/>
                <w:szCs w:val="20"/>
              </w:rPr>
              <w:t xml:space="preserve"> personal data </w:t>
            </w:r>
            <w:r>
              <w:rPr>
                <w:sz w:val="18"/>
                <w:szCs w:val="20"/>
              </w:rPr>
              <w:t xml:space="preserve">is processed </w:t>
            </w:r>
            <w:r>
              <w:rPr>
                <w:sz w:val="18"/>
                <w:szCs w:val="20"/>
              </w:rPr>
              <w:t>for regular monitoring of individuals, or any sensitive personal data, on a large scale</w:t>
            </w:r>
            <w:r w:rsidRPr="00570B4B">
              <w:rPr>
                <w:sz w:val="18"/>
                <w:szCs w:val="20"/>
              </w:rPr>
              <w:t>.</w:t>
            </w:r>
            <w:r>
              <w:rPr>
                <w:sz w:val="18"/>
                <w:szCs w:val="20"/>
              </w:rPr>
              <w:t xml:space="preserve"> </w:t>
            </w:r>
            <w:r w:rsidRPr="00570B4B">
              <w:rPr>
                <w:sz w:val="18"/>
                <w:szCs w:val="20"/>
              </w:rPr>
              <w:t xml:space="preserve"> The DPO should report to the highest level of management (i.e. </w:t>
            </w:r>
            <w:r>
              <w:rPr>
                <w:sz w:val="18"/>
                <w:szCs w:val="20"/>
              </w:rPr>
              <w:t>the Board</w:t>
            </w:r>
            <w:r w:rsidRPr="00570B4B">
              <w:rPr>
                <w:sz w:val="18"/>
                <w:szCs w:val="20"/>
              </w:rPr>
              <w:t xml:space="preserve">) and must be informed about all data protection issues within the </w:t>
            </w:r>
            <w:r>
              <w:rPr>
                <w:sz w:val="18"/>
                <w:szCs w:val="20"/>
              </w:rPr>
              <w:t>organisation</w:t>
            </w:r>
            <w:r w:rsidRPr="00570B4B">
              <w:rPr>
                <w:sz w:val="18"/>
                <w:szCs w:val="20"/>
              </w:rPr>
              <w:t>.</w:t>
            </w:r>
          </w:p>
        </w:tc>
      </w:tr>
      <w:tr w:rsidR="003E64D3" w:rsidRPr="00570B4B" w14:paraId="168906EB" w14:textId="77777777" w:rsidTr="003E64D3">
        <w:trPr>
          <w:cantSplit/>
          <w:trHeight w:val="1023"/>
        </w:trPr>
        <w:tc>
          <w:tcPr>
            <w:tcW w:w="1701" w:type="dxa"/>
            <w:hideMark/>
          </w:tcPr>
          <w:p w14:paraId="3A460068" w14:textId="77777777" w:rsidR="003E64D3" w:rsidRPr="00570B4B" w:rsidRDefault="003E64D3" w:rsidP="007F43A2">
            <w:pPr>
              <w:rPr>
                <w:b/>
                <w:color w:val="5B9BD5" w:themeColor="accent1"/>
                <w:sz w:val="18"/>
                <w:szCs w:val="20"/>
              </w:rPr>
            </w:pPr>
            <w:r w:rsidRPr="00570B4B">
              <w:rPr>
                <w:b/>
                <w:color w:val="5B9BD5" w:themeColor="accent1"/>
                <w:sz w:val="18"/>
                <w:szCs w:val="20"/>
              </w:rPr>
              <w:lastRenderedPageBreak/>
              <w:t>Right of Portability</w:t>
            </w:r>
          </w:p>
        </w:tc>
        <w:tc>
          <w:tcPr>
            <w:tcW w:w="6152" w:type="dxa"/>
            <w:hideMark/>
          </w:tcPr>
          <w:p w14:paraId="2A8A6ECC" w14:textId="77777777" w:rsidR="003E64D3" w:rsidRPr="00570B4B" w:rsidRDefault="003E64D3" w:rsidP="007F43A2">
            <w:pPr>
              <w:rPr>
                <w:sz w:val="18"/>
                <w:szCs w:val="20"/>
              </w:rPr>
            </w:pPr>
            <w:r w:rsidRPr="00570B4B">
              <w:rPr>
                <w:sz w:val="18"/>
                <w:szCs w:val="20"/>
              </w:rPr>
              <w:t>The GDPR introduces a new right of data portability.</w:t>
            </w:r>
            <w:r>
              <w:rPr>
                <w:sz w:val="18"/>
                <w:szCs w:val="20"/>
              </w:rPr>
              <w:t xml:space="preserve"> </w:t>
            </w:r>
            <w:r w:rsidRPr="00570B4B">
              <w:rPr>
                <w:sz w:val="18"/>
                <w:szCs w:val="20"/>
              </w:rPr>
              <w:t>This right allows for the data which an individual provided to the Data Controller to be provided to the individual in a structured format, to allow it to be provided to another Data Controller.</w:t>
            </w:r>
          </w:p>
        </w:tc>
      </w:tr>
    </w:tbl>
    <w:p w14:paraId="19129890" w14:textId="0BF70FFD" w:rsidR="0010745B" w:rsidRDefault="0010745B" w:rsidP="000E5E4F">
      <w:pPr>
        <w:spacing w:before="240" w:after="240"/>
        <w:jc w:val="both"/>
        <w:outlineLvl w:val="0"/>
        <w:rPr>
          <w:rStyle w:val="main1"/>
          <w:b/>
          <w:u w:val="single"/>
        </w:rPr>
      </w:pPr>
      <w:r>
        <w:rPr>
          <w:rStyle w:val="main1"/>
          <w:b/>
          <w:u w:val="single"/>
        </w:rPr>
        <w:t>Principles</w:t>
      </w:r>
    </w:p>
    <w:p w14:paraId="2A9FADD3" w14:textId="611FA280" w:rsidR="0010745B" w:rsidRPr="00570B4B" w:rsidRDefault="0010745B" w:rsidP="00FB7B21">
      <w:pPr>
        <w:pStyle w:val="Heading2"/>
        <w:numPr>
          <w:ilvl w:val="0"/>
          <w:numId w:val="0"/>
        </w:numPr>
        <w:ind w:left="567" w:hanging="511"/>
      </w:pPr>
      <w:r w:rsidRPr="00570B4B">
        <w:t xml:space="preserve">The GDPR has a number of underlying principles. </w:t>
      </w:r>
      <w:r w:rsidR="00FB7B21">
        <w:t>P</w:t>
      </w:r>
      <w:r w:rsidRPr="00570B4B">
        <w:t>ersonal data</w:t>
      </w:r>
      <w:r w:rsidRPr="00570B4B">
        <w:rPr>
          <w:rStyle w:val="Bodytext295pt"/>
          <w:rFonts w:ascii="Century Gothic" w:hAnsi="Century Gothic"/>
          <w:bCs w:val="0"/>
          <w:sz w:val="20"/>
          <w:szCs w:val="20"/>
        </w:rPr>
        <w:t>:</w:t>
      </w:r>
    </w:p>
    <w:p w14:paraId="4ADC4534" w14:textId="77777777" w:rsidR="0010745B" w:rsidRPr="00570B4B" w:rsidRDefault="0010745B" w:rsidP="0010745B">
      <w:pPr>
        <w:pStyle w:val="Heading4"/>
        <w:rPr>
          <w:szCs w:val="20"/>
        </w:rPr>
      </w:pPr>
      <w:r w:rsidRPr="00570B4B">
        <w:rPr>
          <w:szCs w:val="20"/>
        </w:rPr>
        <w:t xml:space="preserve">Must be processed </w:t>
      </w:r>
      <w:r w:rsidRPr="00570B4B">
        <w:rPr>
          <w:b/>
          <w:color w:val="8496B0" w:themeColor="text2" w:themeTint="99"/>
          <w:szCs w:val="20"/>
        </w:rPr>
        <w:t>lawfully, fairly and transparently</w:t>
      </w:r>
      <w:r w:rsidRPr="00570B4B">
        <w:rPr>
          <w:szCs w:val="20"/>
        </w:rPr>
        <w:t>.</w:t>
      </w:r>
    </w:p>
    <w:p w14:paraId="7F57B5A7" w14:textId="00DD1B00" w:rsidR="0010745B" w:rsidRPr="00570B4B" w:rsidRDefault="00FD6703" w:rsidP="0010745B">
      <w:pPr>
        <w:pStyle w:val="Heading4"/>
        <w:rPr>
          <w:szCs w:val="20"/>
        </w:rPr>
      </w:pPr>
      <w:r>
        <w:rPr>
          <w:szCs w:val="20"/>
        </w:rPr>
        <w:t>Should</w:t>
      </w:r>
      <w:r w:rsidR="0010745B" w:rsidRPr="00570B4B">
        <w:rPr>
          <w:szCs w:val="20"/>
        </w:rPr>
        <w:t xml:space="preserve"> only </w:t>
      </w:r>
      <w:r>
        <w:rPr>
          <w:szCs w:val="20"/>
        </w:rPr>
        <w:t xml:space="preserve">be </w:t>
      </w:r>
      <w:r w:rsidR="0010745B" w:rsidRPr="00570B4B">
        <w:rPr>
          <w:szCs w:val="20"/>
        </w:rPr>
        <w:t xml:space="preserve">used for a </w:t>
      </w:r>
      <w:r w:rsidR="0010745B" w:rsidRPr="00570B4B">
        <w:rPr>
          <w:b/>
          <w:color w:val="8496B0" w:themeColor="text2" w:themeTint="99"/>
          <w:szCs w:val="20"/>
        </w:rPr>
        <w:t>specific processing purpose</w:t>
      </w:r>
      <w:r w:rsidR="0010745B" w:rsidRPr="00570B4B">
        <w:rPr>
          <w:szCs w:val="20"/>
        </w:rPr>
        <w:t xml:space="preserve"> that the data subject has been made aware of and no other, without further consent.</w:t>
      </w:r>
    </w:p>
    <w:p w14:paraId="62E0B8BC" w14:textId="77777777" w:rsidR="0010745B" w:rsidRPr="00570B4B" w:rsidRDefault="0010745B" w:rsidP="0010745B">
      <w:pPr>
        <w:pStyle w:val="Heading4"/>
        <w:rPr>
          <w:szCs w:val="20"/>
        </w:rPr>
      </w:pPr>
      <w:r w:rsidRPr="00570B4B">
        <w:rPr>
          <w:szCs w:val="20"/>
        </w:rPr>
        <w:t xml:space="preserve">Should be </w:t>
      </w:r>
      <w:r w:rsidRPr="00570B4B">
        <w:rPr>
          <w:b/>
          <w:color w:val="8496B0" w:themeColor="text2" w:themeTint="99"/>
          <w:szCs w:val="20"/>
        </w:rPr>
        <w:t>adequate, relevant and limited</w:t>
      </w:r>
      <w:r w:rsidRPr="00570B4B">
        <w:rPr>
          <w:color w:val="FF0000"/>
          <w:szCs w:val="20"/>
        </w:rPr>
        <w:t xml:space="preserve"> </w:t>
      </w:r>
      <w:r w:rsidRPr="00570B4B">
        <w:rPr>
          <w:szCs w:val="20"/>
        </w:rPr>
        <w:t>i.e. only the minimum amount of data should be kept for specific processing.</w:t>
      </w:r>
    </w:p>
    <w:p w14:paraId="621BE1E1" w14:textId="77777777" w:rsidR="0010745B" w:rsidRPr="00570B4B" w:rsidRDefault="0010745B" w:rsidP="0010745B">
      <w:pPr>
        <w:pStyle w:val="Heading4"/>
        <w:rPr>
          <w:szCs w:val="20"/>
        </w:rPr>
      </w:pPr>
      <w:r w:rsidRPr="00570B4B">
        <w:rPr>
          <w:szCs w:val="20"/>
        </w:rPr>
        <w:t xml:space="preserve">Must be </w:t>
      </w:r>
      <w:r w:rsidRPr="00570B4B">
        <w:rPr>
          <w:b/>
          <w:color w:val="8496B0" w:themeColor="text2" w:themeTint="99"/>
          <w:szCs w:val="20"/>
        </w:rPr>
        <w:t>accurate</w:t>
      </w:r>
      <w:r w:rsidRPr="00570B4B">
        <w:rPr>
          <w:szCs w:val="20"/>
        </w:rPr>
        <w:t xml:space="preserve"> and where necessary </w:t>
      </w:r>
      <w:r w:rsidRPr="00570B4B">
        <w:rPr>
          <w:b/>
          <w:color w:val="8496B0" w:themeColor="text2" w:themeTint="99"/>
          <w:szCs w:val="20"/>
        </w:rPr>
        <w:t>kept up to date</w:t>
      </w:r>
      <w:r w:rsidRPr="00570B4B">
        <w:rPr>
          <w:szCs w:val="20"/>
        </w:rPr>
        <w:t>.</w:t>
      </w:r>
    </w:p>
    <w:p w14:paraId="62B56FEB" w14:textId="77777777" w:rsidR="0010745B" w:rsidRPr="00570B4B" w:rsidRDefault="0010745B" w:rsidP="0010745B">
      <w:pPr>
        <w:pStyle w:val="Heading4"/>
        <w:rPr>
          <w:rStyle w:val="Bodytext2"/>
          <w:rFonts w:ascii="Century Gothic" w:eastAsia="Arial Unicode MS" w:hAnsi="Century Gothic" w:cs="Times New Roman"/>
          <w:color w:val="auto"/>
        </w:rPr>
      </w:pPr>
      <w:r w:rsidRPr="00570B4B">
        <w:rPr>
          <w:szCs w:val="20"/>
        </w:rPr>
        <w:t xml:space="preserve">Should </w:t>
      </w:r>
      <w:r w:rsidRPr="00570B4B">
        <w:rPr>
          <w:b/>
          <w:color w:val="8496B0" w:themeColor="text2" w:themeTint="99"/>
          <w:szCs w:val="20"/>
        </w:rPr>
        <w:t>not be stored for longer than is necessary</w:t>
      </w:r>
      <w:r w:rsidRPr="00570B4B">
        <w:rPr>
          <w:szCs w:val="20"/>
        </w:rPr>
        <w:t>, and that storage is safe and secure</w:t>
      </w:r>
      <w:r w:rsidRPr="00570B4B">
        <w:rPr>
          <w:rStyle w:val="Bodytext2"/>
          <w:rFonts w:ascii="Century Gothic" w:hAnsi="Century Gothic"/>
        </w:rPr>
        <w:t>.</w:t>
      </w:r>
    </w:p>
    <w:p w14:paraId="65937BE3" w14:textId="77777777" w:rsidR="0010745B" w:rsidRPr="00570B4B" w:rsidRDefault="0010745B" w:rsidP="0010745B">
      <w:pPr>
        <w:pStyle w:val="Heading4"/>
        <w:rPr>
          <w:color w:val="FF0000"/>
          <w:szCs w:val="20"/>
        </w:rPr>
      </w:pPr>
      <w:r w:rsidRPr="00570B4B">
        <w:rPr>
          <w:szCs w:val="20"/>
        </w:rPr>
        <w:t xml:space="preserve">Should be processed in a manner that ensures </w:t>
      </w:r>
      <w:r w:rsidRPr="00570B4B">
        <w:rPr>
          <w:b/>
          <w:color w:val="8496B0" w:themeColor="text2" w:themeTint="99"/>
          <w:szCs w:val="20"/>
        </w:rPr>
        <w:t>appropriate security and protection</w:t>
      </w:r>
      <w:r w:rsidRPr="00570B4B">
        <w:rPr>
          <w:b/>
          <w:szCs w:val="20"/>
        </w:rPr>
        <w:t>.</w:t>
      </w:r>
    </w:p>
    <w:p w14:paraId="566CAA83" w14:textId="19BCB872" w:rsidR="004F7A5D" w:rsidRDefault="00B02571" w:rsidP="000E5E4F">
      <w:pPr>
        <w:spacing w:before="240" w:after="240"/>
        <w:jc w:val="both"/>
        <w:outlineLvl w:val="0"/>
        <w:rPr>
          <w:rStyle w:val="main1"/>
          <w:b/>
          <w:u w:val="single"/>
        </w:rPr>
      </w:pPr>
      <w:r>
        <w:rPr>
          <w:rStyle w:val="main1"/>
          <w:b/>
          <w:u w:val="single"/>
        </w:rPr>
        <w:t>Processing of Data</w:t>
      </w:r>
    </w:p>
    <w:p w14:paraId="04B8D4C3" w14:textId="77639053" w:rsidR="00B02571" w:rsidRPr="00570B4B" w:rsidRDefault="00B02571" w:rsidP="00B02571">
      <w:pPr>
        <w:pStyle w:val="Heading2"/>
        <w:numPr>
          <w:ilvl w:val="0"/>
          <w:numId w:val="0"/>
        </w:numPr>
        <w:ind w:left="567" w:hanging="511"/>
      </w:pPr>
      <w:r>
        <w:rPr>
          <w:rStyle w:val="main1"/>
          <w:bCs/>
        </w:rPr>
        <w:t xml:space="preserve">The GDPR sets out </w:t>
      </w:r>
      <w:r w:rsidRPr="00570B4B">
        <w:t>six lawful bases for processing personal data</w:t>
      </w:r>
      <w:r>
        <w:t>.  These</w:t>
      </w:r>
      <w:r w:rsidRPr="00570B4B">
        <w:t xml:space="preserve"> are:</w:t>
      </w:r>
    </w:p>
    <w:p w14:paraId="41C6FF00" w14:textId="77777777" w:rsidR="00B02571" w:rsidRPr="00570B4B" w:rsidRDefault="00B02571" w:rsidP="00B02571">
      <w:pPr>
        <w:pStyle w:val="Heading6"/>
        <w:rPr>
          <w:szCs w:val="20"/>
        </w:rPr>
      </w:pPr>
      <w:r w:rsidRPr="00570B4B">
        <w:rPr>
          <w:szCs w:val="20"/>
        </w:rPr>
        <w:t>Consent</w:t>
      </w:r>
    </w:p>
    <w:p w14:paraId="0A318BC1" w14:textId="77777777" w:rsidR="00B02571" w:rsidRPr="00570B4B" w:rsidRDefault="00B02571" w:rsidP="00B02571">
      <w:pPr>
        <w:pStyle w:val="ListParagraph"/>
        <w:numPr>
          <w:ilvl w:val="0"/>
          <w:numId w:val="30"/>
        </w:numPr>
        <w:spacing w:after="240" w:line="260" w:lineRule="exact"/>
        <w:ind w:left="2160" w:hanging="720"/>
        <w:contextualSpacing w:val="0"/>
        <w:rPr>
          <w:szCs w:val="20"/>
        </w:rPr>
      </w:pPr>
      <w:r w:rsidRPr="00570B4B">
        <w:rPr>
          <w:szCs w:val="20"/>
        </w:rPr>
        <w:t>A controller must be able to demonstrate that consent was given.</w:t>
      </w:r>
      <w:r>
        <w:rPr>
          <w:szCs w:val="20"/>
        </w:rPr>
        <w:t xml:space="preserve"> </w:t>
      </w:r>
      <w:r w:rsidRPr="00570B4B">
        <w:rPr>
          <w:szCs w:val="20"/>
        </w:rPr>
        <w:t>Transparency is key: consents given in written declarations which also cover other matters must be clearly distinguishable, and must be intelligible, easily accessible and in clear and plain language.</w:t>
      </w:r>
      <w:r>
        <w:rPr>
          <w:szCs w:val="20"/>
        </w:rPr>
        <w:t xml:space="preserve"> </w:t>
      </w:r>
    </w:p>
    <w:p w14:paraId="29CB1C0B" w14:textId="77777777" w:rsidR="00B02571" w:rsidRDefault="00B02571" w:rsidP="00B02571">
      <w:pPr>
        <w:pStyle w:val="ListParagraph"/>
        <w:numPr>
          <w:ilvl w:val="0"/>
          <w:numId w:val="30"/>
        </w:numPr>
        <w:spacing w:after="240" w:line="260" w:lineRule="exact"/>
        <w:ind w:left="2160" w:hanging="720"/>
        <w:contextualSpacing w:val="0"/>
        <w:rPr>
          <w:szCs w:val="20"/>
        </w:rPr>
      </w:pPr>
      <w:r w:rsidRPr="00570B4B">
        <w:rPr>
          <w:szCs w:val="20"/>
        </w:rPr>
        <w:t>Consent is defined as any freely given, specific, informed and unambiguous indication of the data subject’s wishes – either by a statement or by a clear affirmative action.</w:t>
      </w:r>
    </w:p>
    <w:p w14:paraId="6C639908" w14:textId="72338E85" w:rsidR="00BD7AEE" w:rsidRPr="00570B4B" w:rsidRDefault="00152C70" w:rsidP="00B02571">
      <w:pPr>
        <w:pStyle w:val="ListParagraph"/>
        <w:numPr>
          <w:ilvl w:val="0"/>
          <w:numId w:val="30"/>
        </w:numPr>
        <w:spacing w:after="240" w:line="260" w:lineRule="exact"/>
        <w:ind w:left="2160" w:hanging="720"/>
        <w:contextualSpacing w:val="0"/>
        <w:rPr>
          <w:szCs w:val="20"/>
        </w:rPr>
      </w:pPr>
      <w:r>
        <w:rPr>
          <w:szCs w:val="20"/>
        </w:rPr>
        <w:t xml:space="preserve">Additional </w:t>
      </w:r>
      <w:r w:rsidR="003C054D">
        <w:rPr>
          <w:szCs w:val="20"/>
        </w:rPr>
        <w:t xml:space="preserve">criteria apply for </w:t>
      </w:r>
      <w:r w:rsidR="00BD7AEE">
        <w:rPr>
          <w:szCs w:val="20"/>
        </w:rPr>
        <w:t xml:space="preserve">consent </w:t>
      </w:r>
      <w:r w:rsidR="003C054D">
        <w:rPr>
          <w:szCs w:val="20"/>
        </w:rPr>
        <w:t xml:space="preserve">to </w:t>
      </w:r>
      <w:r w:rsidR="00BD7AEE">
        <w:rPr>
          <w:szCs w:val="20"/>
        </w:rPr>
        <w:t>be given for the processing of sensitive data</w:t>
      </w:r>
      <w:r w:rsidR="003C054D">
        <w:rPr>
          <w:szCs w:val="20"/>
        </w:rPr>
        <w:t>, including explicit consent by the data subject</w:t>
      </w:r>
      <w:r w:rsidR="00545508">
        <w:rPr>
          <w:szCs w:val="20"/>
        </w:rPr>
        <w:t xml:space="preserve"> and reasons of substantial public interest.</w:t>
      </w:r>
    </w:p>
    <w:p w14:paraId="6FFF9CEC" w14:textId="77777777" w:rsidR="00B02571" w:rsidRPr="00570B4B" w:rsidRDefault="00B02571" w:rsidP="00B02571">
      <w:pPr>
        <w:pStyle w:val="Heading6"/>
        <w:rPr>
          <w:color w:val="000000"/>
          <w:szCs w:val="20"/>
        </w:rPr>
      </w:pPr>
      <w:r w:rsidRPr="00570B4B">
        <w:rPr>
          <w:szCs w:val="20"/>
        </w:rPr>
        <w:t>Legitimate interests</w:t>
      </w:r>
    </w:p>
    <w:p w14:paraId="3C33FC27" w14:textId="77777777" w:rsidR="00B02571" w:rsidRPr="00570B4B" w:rsidRDefault="00B02571" w:rsidP="00B02571">
      <w:pPr>
        <w:pStyle w:val="ListParagraph"/>
        <w:numPr>
          <w:ilvl w:val="0"/>
          <w:numId w:val="30"/>
        </w:numPr>
        <w:spacing w:after="240" w:line="260" w:lineRule="exact"/>
        <w:ind w:left="2160" w:hanging="720"/>
        <w:contextualSpacing w:val="0"/>
        <w:rPr>
          <w:szCs w:val="20"/>
        </w:rPr>
      </w:pPr>
      <w:r w:rsidRPr="00570B4B">
        <w:rPr>
          <w:szCs w:val="20"/>
        </w:rPr>
        <w:t>This involves a balancing test between the controller (or a third party’s) legitimate interests and the interests or fundamental rights of and freedoms of the data subject – in particular where the data subject is a child.</w:t>
      </w:r>
      <w:r>
        <w:rPr>
          <w:szCs w:val="20"/>
        </w:rPr>
        <w:t xml:space="preserve"> </w:t>
      </w:r>
      <w:r w:rsidRPr="00570B4B">
        <w:rPr>
          <w:szCs w:val="20"/>
        </w:rPr>
        <w:t xml:space="preserve">The privacy policy of a controller must inform data subjects about the legitimate interests that are the basis for the balancing of interests. </w:t>
      </w:r>
    </w:p>
    <w:p w14:paraId="315D25BB" w14:textId="77777777" w:rsidR="00B02571" w:rsidRPr="00570B4B" w:rsidRDefault="00B02571" w:rsidP="00B02571">
      <w:pPr>
        <w:pStyle w:val="Heading6"/>
        <w:rPr>
          <w:szCs w:val="20"/>
        </w:rPr>
      </w:pPr>
      <w:r w:rsidRPr="00570B4B">
        <w:rPr>
          <w:szCs w:val="20"/>
        </w:rPr>
        <w:t xml:space="preserve">Contractual necessity </w:t>
      </w:r>
    </w:p>
    <w:p w14:paraId="5D7D4E4C" w14:textId="77777777" w:rsidR="00B02571" w:rsidRPr="00570B4B" w:rsidRDefault="00B02571" w:rsidP="00B02571">
      <w:pPr>
        <w:pStyle w:val="ListParagraph"/>
        <w:numPr>
          <w:ilvl w:val="0"/>
          <w:numId w:val="30"/>
        </w:numPr>
        <w:spacing w:after="240" w:line="260" w:lineRule="exact"/>
        <w:ind w:left="2160" w:hanging="720"/>
        <w:contextualSpacing w:val="0"/>
        <w:rPr>
          <w:szCs w:val="20"/>
        </w:rPr>
      </w:pPr>
      <w:r w:rsidRPr="00570B4B">
        <w:rPr>
          <w:szCs w:val="20"/>
        </w:rPr>
        <w:t xml:space="preserve">Personal data may be processed if the processing is necessary in order to enter into or perform a contract with the data subject (or to take steps prior to entering into a contract). </w:t>
      </w:r>
    </w:p>
    <w:p w14:paraId="2B31B1DF" w14:textId="77777777" w:rsidR="00B02571" w:rsidRPr="00570B4B" w:rsidRDefault="00B02571" w:rsidP="00B02571">
      <w:pPr>
        <w:pStyle w:val="Heading6"/>
        <w:rPr>
          <w:szCs w:val="20"/>
        </w:rPr>
      </w:pPr>
      <w:r w:rsidRPr="00570B4B">
        <w:rPr>
          <w:szCs w:val="20"/>
        </w:rPr>
        <w:t>Compliance with legal obligation</w:t>
      </w:r>
    </w:p>
    <w:p w14:paraId="2C817FF2" w14:textId="4658497E" w:rsidR="00B02571" w:rsidRPr="00570B4B" w:rsidRDefault="00B02571" w:rsidP="00B02571">
      <w:pPr>
        <w:pStyle w:val="ListParagraph"/>
        <w:numPr>
          <w:ilvl w:val="0"/>
          <w:numId w:val="30"/>
        </w:numPr>
        <w:spacing w:after="240" w:line="260" w:lineRule="exact"/>
        <w:ind w:left="2160" w:hanging="720"/>
        <w:contextualSpacing w:val="0"/>
        <w:rPr>
          <w:szCs w:val="20"/>
        </w:rPr>
      </w:pPr>
      <w:r w:rsidRPr="00570B4B">
        <w:rPr>
          <w:szCs w:val="20"/>
        </w:rPr>
        <w:t xml:space="preserve">Personal data may be processed if the controller is legally required to perform such processing (e.g. complying with the requirements of legislation). </w:t>
      </w:r>
    </w:p>
    <w:p w14:paraId="7F1628C6" w14:textId="77777777" w:rsidR="00B02571" w:rsidRPr="00570B4B" w:rsidRDefault="00B02571" w:rsidP="00B02571">
      <w:pPr>
        <w:pStyle w:val="Heading6"/>
        <w:rPr>
          <w:szCs w:val="20"/>
        </w:rPr>
      </w:pPr>
      <w:r w:rsidRPr="00570B4B">
        <w:rPr>
          <w:szCs w:val="20"/>
        </w:rPr>
        <w:lastRenderedPageBreak/>
        <w:t>Vital Interests</w:t>
      </w:r>
    </w:p>
    <w:p w14:paraId="1027272C" w14:textId="77777777" w:rsidR="00B02571" w:rsidRPr="00570B4B" w:rsidRDefault="00B02571" w:rsidP="00B02571">
      <w:pPr>
        <w:pStyle w:val="ListParagraph"/>
        <w:numPr>
          <w:ilvl w:val="0"/>
          <w:numId w:val="30"/>
        </w:numPr>
        <w:spacing w:after="240" w:line="260" w:lineRule="exact"/>
        <w:ind w:left="2160" w:hanging="720"/>
        <w:contextualSpacing w:val="0"/>
        <w:rPr>
          <w:szCs w:val="20"/>
        </w:rPr>
      </w:pPr>
      <w:r w:rsidRPr="00570B4B">
        <w:rPr>
          <w:szCs w:val="20"/>
        </w:rPr>
        <w:t>Personal data may be processed to protect the ‘vital interests’ of the data subject (e.g.</w:t>
      </w:r>
      <w:r>
        <w:rPr>
          <w:szCs w:val="20"/>
        </w:rPr>
        <w:t xml:space="preserve"> </w:t>
      </w:r>
      <w:r w:rsidRPr="00570B4B">
        <w:rPr>
          <w:szCs w:val="20"/>
        </w:rPr>
        <w:t xml:space="preserve">in a life or death situation it is permissible to use a person’s medical or emergency contact information without their consent). </w:t>
      </w:r>
    </w:p>
    <w:p w14:paraId="4916848C" w14:textId="77777777" w:rsidR="00B02571" w:rsidRPr="00570B4B" w:rsidRDefault="00B02571" w:rsidP="00B02571">
      <w:pPr>
        <w:pStyle w:val="Heading6"/>
        <w:rPr>
          <w:szCs w:val="20"/>
        </w:rPr>
      </w:pPr>
      <w:r w:rsidRPr="00570B4B">
        <w:rPr>
          <w:szCs w:val="20"/>
        </w:rPr>
        <w:t xml:space="preserve">Public Interest </w:t>
      </w:r>
    </w:p>
    <w:p w14:paraId="7FE7C639" w14:textId="77777777" w:rsidR="00B02571" w:rsidRPr="00570B4B" w:rsidRDefault="00B02571" w:rsidP="00B02571">
      <w:pPr>
        <w:pStyle w:val="ListParagraph"/>
        <w:numPr>
          <w:ilvl w:val="0"/>
          <w:numId w:val="30"/>
        </w:numPr>
        <w:spacing w:after="240" w:line="260" w:lineRule="exact"/>
        <w:ind w:left="2160" w:hanging="720"/>
        <w:contextualSpacing w:val="0"/>
        <w:rPr>
          <w:szCs w:val="20"/>
        </w:rPr>
      </w:pPr>
      <w:r w:rsidRPr="00570B4B">
        <w:rPr>
          <w:szCs w:val="20"/>
        </w:rPr>
        <w:t xml:space="preserve">Personal data may be processed if the processing is necessary for the performance of tasks carried out by a public authority or private organisation acting in the public interest. </w:t>
      </w:r>
    </w:p>
    <w:p w14:paraId="7EC98945" w14:textId="0D24C380" w:rsidR="000E5E4F" w:rsidRPr="00E65085" w:rsidRDefault="000E5E4F" w:rsidP="000E5E4F">
      <w:pPr>
        <w:spacing w:before="240" w:after="240"/>
        <w:jc w:val="both"/>
        <w:outlineLvl w:val="0"/>
        <w:rPr>
          <w:rStyle w:val="main1"/>
          <w:b/>
          <w:u w:val="single"/>
        </w:rPr>
      </w:pPr>
      <w:r w:rsidRPr="00E65085">
        <w:rPr>
          <w:rStyle w:val="main1"/>
          <w:b/>
          <w:u w:val="single"/>
        </w:rPr>
        <w:t>Data Controller</w:t>
      </w:r>
    </w:p>
    <w:p w14:paraId="14A4171B" w14:textId="72FFAF4C" w:rsidR="000E5E4F" w:rsidRPr="00E65085" w:rsidRDefault="000E5E4F" w:rsidP="000E5E4F">
      <w:pPr>
        <w:pStyle w:val="BodyText"/>
        <w:spacing w:before="240" w:after="240"/>
        <w:jc w:val="both"/>
        <w:rPr>
          <w:sz w:val="24"/>
        </w:rPr>
      </w:pPr>
      <w:r>
        <w:rPr>
          <w:rFonts w:cs="Arial"/>
          <w:sz w:val="24"/>
          <w:lang w:val="en-GB"/>
        </w:rPr>
        <w:t xml:space="preserve">Tarn Moor Estate </w:t>
      </w:r>
      <w:r w:rsidRPr="00E65085">
        <w:rPr>
          <w:bCs/>
          <w:sz w:val="24"/>
        </w:rPr>
        <w:t>is the</w:t>
      </w:r>
      <w:r w:rsidRPr="00E65085">
        <w:rPr>
          <w:b/>
          <w:bCs/>
          <w:color w:val="0000FF"/>
          <w:sz w:val="24"/>
        </w:rPr>
        <w:t xml:space="preserve"> </w:t>
      </w:r>
      <w:r w:rsidRPr="00E65085">
        <w:rPr>
          <w:sz w:val="24"/>
        </w:rPr>
        <w:t xml:space="preserve">Data Controller under the Act, which means that it determines what purposes personal information held will be used for. </w:t>
      </w:r>
    </w:p>
    <w:p w14:paraId="761714BD" w14:textId="77777777" w:rsidR="000E5E4F" w:rsidRPr="00E65085" w:rsidRDefault="000E5E4F" w:rsidP="000E5E4F">
      <w:pPr>
        <w:pStyle w:val="BodyText"/>
        <w:spacing w:before="240" w:after="240"/>
        <w:jc w:val="both"/>
        <w:outlineLvl w:val="0"/>
        <w:rPr>
          <w:b/>
          <w:bCs/>
          <w:sz w:val="24"/>
          <w:u w:val="single"/>
        </w:rPr>
      </w:pPr>
      <w:r w:rsidRPr="00E65085">
        <w:rPr>
          <w:b/>
          <w:bCs/>
          <w:sz w:val="24"/>
          <w:u w:val="single"/>
        </w:rPr>
        <w:t>Disclosure</w:t>
      </w:r>
    </w:p>
    <w:p w14:paraId="6E837DC2" w14:textId="77777777" w:rsidR="000E5E4F" w:rsidRPr="00E65085" w:rsidRDefault="000E5E4F" w:rsidP="000E5E4F">
      <w:pPr>
        <w:pStyle w:val="Paragraph"/>
        <w:spacing w:before="240" w:after="240"/>
        <w:rPr>
          <w:rFonts w:ascii="Arial" w:hAnsi="Arial" w:cs="Arial"/>
          <w:color w:val="000000"/>
          <w:sz w:val="24"/>
        </w:rPr>
      </w:pPr>
      <w:r w:rsidRPr="000F1F6E">
        <w:rPr>
          <w:rFonts w:ascii="Arial" w:hAnsi="Arial" w:cs="Arial"/>
          <w:sz w:val="24"/>
        </w:rPr>
        <w:t>Tarn Moor Estate</w:t>
      </w:r>
      <w:r w:rsidRPr="00E65085">
        <w:rPr>
          <w:sz w:val="24"/>
        </w:rPr>
        <w:t xml:space="preserve"> </w:t>
      </w:r>
      <w:r w:rsidRPr="00E65085">
        <w:rPr>
          <w:rFonts w:ascii="Arial" w:hAnsi="Arial" w:cs="Arial"/>
          <w:color w:val="000000"/>
          <w:sz w:val="24"/>
        </w:rPr>
        <w:t>ma</w:t>
      </w:r>
      <w:r>
        <w:rPr>
          <w:rFonts w:ascii="Arial" w:hAnsi="Arial" w:cs="Arial"/>
          <w:color w:val="000000"/>
          <w:sz w:val="24"/>
        </w:rPr>
        <w:t>y share data with other bodies</w:t>
      </w:r>
      <w:r w:rsidRPr="00E65085">
        <w:rPr>
          <w:rFonts w:ascii="Arial" w:hAnsi="Arial" w:cs="Arial"/>
          <w:color w:val="000000"/>
          <w:sz w:val="24"/>
        </w:rPr>
        <w:t xml:space="preserve"> such as</w:t>
      </w:r>
      <w:r w:rsidRPr="00E65085">
        <w:rPr>
          <w:rFonts w:ascii="Arial" w:hAnsi="Arial" w:cs="Arial"/>
          <w:b/>
          <w:bCs/>
          <w:color w:val="000000"/>
          <w:sz w:val="24"/>
        </w:rPr>
        <w:t xml:space="preserve"> </w:t>
      </w:r>
      <w:r>
        <w:rPr>
          <w:rFonts w:ascii="Arial" w:hAnsi="Arial" w:cs="Arial"/>
          <w:bCs/>
          <w:color w:val="000000"/>
          <w:sz w:val="24"/>
        </w:rPr>
        <w:t>its agents and its professional advisers</w:t>
      </w:r>
      <w:r w:rsidRPr="00E65085">
        <w:rPr>
          <w:rFonts w:ascii="Arial" w:hAnsi="Arial" w:cs="Arial"/>
          <w:color w:val="000000"/>
          <w:sz w:val="24"/>
        </w:rPr>
        <w:t>.</w:t>
      </w:r>
    </w:p>
    <w:p w14:paraId="457C7948" w14:textId="7B77D2FA" w:rsidR="000E5E4F" w:rsidRPr="00E65085" w:rsidRDefault="000E5E4F" w:rsidP="000E5E4F">
      <w:pPr>
        <w:pStyle w:val="Paragraph"/>
        <w:spacing w:before="240" w:after="240"/>
        <w:rPr>
          <w:rFonts w:ascii="Arial" w:hAnsi="Arial" w:cs="Arial"/>
          <w:sz w:val="24"/>
        </w:rPr>
      </w:pPr>
      <w:r w:rsidRPr="00E65085">
        <w:rPr>
          <w:rFonts w:ascii="Arial" w:hAnsi="Arial" w:cs="Arial"/>
          <w:sz w:val="24"/>
        </w:rPr>
        <w:t xml:space="preserve">The Data Subject will be made aware how and with whom their information will be shared.  There are circumstances where the law allows </w:t>
      </w:r>
      <w:r>
        <w:rPr>
          <w:rFonts w:ascii="Arial" w:hAnsi="Arial" w:cs="Arial"/>
          <w:sz w:val="24"/>
          <w:szCs w:val="24"/>
          <w:lang w:val="en-GB"/>
        </w:rPr>
        <w:t xml:space="preserve">the charity </w:t>
      </w:r>
      <w:r w:rsidRPr="00E65085">
        <w:rPr>
          <w:rFonts w:ascii="Arial" w:hAnsi="Arial" w:cs="Arial"/>
          <w:sz w:val="24"/>
        </w:rPr>
        <w:t xml:space="preserve">to disclose data (including sensitive data) without the data subject’s consent.   </w:t>
      </w:r>
    </w:p>
    <w:p w14:paraId="7AA0503E" w14:textId="77777777" w:rsidR="000E5E4F" w:rsidRPr="000E5E4F" w:rsidRDefault="000E5E4F" w:rsidP="000E5E4F">
      <w:pPr>
        <w:spacing w:before="240" w:after="240"/>
        <w:jc w:val="both"/>
        <w:rPr>
          <w:rFonts w:ascii="Arial" w:hAnsi="Arial" w:cs="Arial"/>
          <w:bCs/>
          <w:sz w:val="24"/>
          <w:szCs w:val="24"/>
        </w:rPr>
      </w:pPr>
      <w:r w:rsidRPr="000E5E4F">
        <w:rPr>
          <w:rFonts w:ascii="Arial" w:hAnsi="Arial" w:cs="Arial"/>
          <w:sz w:val="24"/>
          <w:szCs w:val="24"/>
        </w:rPr>
        <w:t>The charity</w:t>
      </w:r>
      <w:r w:rsidRPr="000E5E4F">
        <w:rPr>
          <w:rFonts w:ascii="Arial" w:hAnsi="Arial" w:cs="Arial"/>
          <w:color w:val="FF9900"/>
          <w:sz w:val="24"/>
          <w:szCs w:val="24"/>
        </w:rPr>
        <w:t xml:space="preserve"> </w:t>
      </w:r>
      <w:r w:rsidRPr="000E5E4F">
        <w:rPr>
          <w:rFonts w:ascii="Arial" w:hAnsi="Arial" w:cs="Arial"/>
          <w:bCs/>
          <w:sz w:val="24"/>
          <w:szCs w:val="24"/>
        </w:rPr>
        <w:t xml:space="preserve">regards the lawful and correct treatment of personal information as very important to successful working, and to maintaining the confidence of those with whom we deal.  </w:t>
      </w:r>
    </w:p>
    <w:p w14:paraId="73335F38" w14:textId="77777777" w:rsidR="000E5E4F" w:rsidRPr="000E5E4F" w:rsidRDefault="000E5E4F" w:rsidP="000E5E4F">
      <w:pPr>
        <w:spacing w:before="240" w:after="240"/>
        <w:jc w:val="both"/>
        <w:rPr>
          <w:rFonts w:ascii="Arial" w:hAnsi="Arial" w:cs="Arial"/>
          <w:bCs/>
          <w:sz w:val="24"/>
          <w:szCs w:val="24"/>
        </w:rPr>
      </w:pPr>
      <w:r w:rsidRPr="000E5E4F">
        <w:rPr>
          <w:rFonts w:ascii="Arial" w:hAnsi="Arial" w:cs="Arial"/>
          <w:sz w:val="24"/>
          <w:szCs w:val="24"/>
        </w:rPr>
        <w:t xml:space="preserve">The charity </w:t>
      </w:r>
      <w:r w:rsidRPr="000E5E4F">
        <w:rPr>
          <w:rFonts w:ascii="Arial" w:hAnsi="Arial" w:cs="Arial"/>
          <w:bCs/>
          <w:sz w:val="24"/>
          <w:szCs w:val="24"/>
        </w:rPr>
        <w:t>intends to ensure that personal information is treated lawfully and correctly.</w:t>
      </w:r>
    </w:p>
    <w:p w14:paraId="14D8DB8F" w14:textId="36ADE86F" w:rsidR="000E5E4F" w:rsidRPr="000E5E4F" w:rsidRDefault="000E5E4F" w:rsidP="000E5E4F">
      <w:pPr>
        <w:spacing w:before="240" w:after="240"/>
        <w:jc w:val="both"/>
        <w:rPr>
          <w:rFonts w:ascii="Arial" w:hAnsi="Arial" w:cs="Arial"/>
          <w:sz w:val="24"/>
          <w:szCs w:val="24"/>
        </w:rPr>
      </w:pPr>
      <w:r w:rsidRPr="000E5E4F">
        <w:rPr>
          <w:rFonts w:ascii="Arial" w:hAnsi="Arial" w:cs="Arial"/>
          <w:sz w:val="24"/>
          <w:szCs w:val="24"/>
        </w:rPr>
        <w:t>To this end, the charity</w:t>
      </w:r>
      <w:r w:rsidRPr="000E5E4F">
        <w:rPr>
          <w:rFonts w:ascii="Arial" w:hAnsi="Arial" w:cs="Arial"/>
          <w:color w:val="FF9900"/>
          <w:sz w:val="24"/>
          <w:szCs w:val="24"/>
        </w:rPr>
        <w:t xml:space="preserve"> </w:t>
      </w:r>
      <w:r w:rsidRPr="000E5E4F">
        <w:rPr>
          <w:rFonts w:ascii="Arial" w:hAnsi="Arial" w:cs="Arial"/>
          <w:sz w:val="24"/>
          <w:szCs w:val="24"/>
        </w:rPr>
        <w:t xml:space="preserve">will adhere to the Principles of Data Protection, as detailed in the </w:t>
      </w:r>
      <w:r w:rsidR="004D4A20">
        <w:rPr>
          <w:rFonts w:ascii="Arial" w:hAnsi="Arial" w:cs="Arial"/>
          <w:sz w:val="24"/>
          <w:szCs w:val="24"/>
        </w:rPr>
        <w:t>GDPR 2018</w:t>
      </w:r>
      <w:r w:rsidRPr="000E5E4F">
        <w:rPr>
          <w:rFonts w:ascii="Arial" w:hAnsi="Arial" w:cs="Arial"/>
          <w:sz w:val="24"/>
          <w:szCs w:val="24"/>
        </w:rPr>
        <w:t>.</w:t>
      </w:r>
    </w:p>
    <w:p w14:paraId="68C04A9B" w14:textId="77777777" w:rsidR="000E5E4F" w:rsidRPr="00E65085" w:rsidRDefault="000E5E4F" w:rsidP="000E5E4F">
      <w:pPr>
        <w:pStyle w:val="aaa2"/>
        <w:spacing w:before="240" w:after="240"/>
        <w:jc w:val="both"/>
        <w:outlineLvl w:val="0"/>
        <w:rPr>
          <w:rFonts w:ascii="Arial" w:hAnsi="Arial" w:cs="Arial"/>
          <w:sz w:val="24"/>
          <w:u w:val="single"/>
        </w:rPr>
      </w:pPr>
      <w:r w:rsidRPr="00E65085">
        <w:rPr>
          <w:rFonts w:ascii="Arial" w:hAnsi="Arial" w:cs="Arial"/>
          <w:sz w:val="24"/>
          <w:u w:val="single"/>
        </w:rPr>
        <w:t>Data collection</w:t>
      </w:r>
    </w:p>
    <w:p w14:paraId="56A12544" w14:textId="26E46EC2" w:rsidR="000E5E4F" w:rsidRPr="00E65085" w:rsidRDefault="000E5E4F" w:rsidP="000E5E4F">
      <w:pPr>
        <w:pStyle w:val="Paragraph"/>
        <w:spacing w:before="240" w:after="240"/>
        <w:rPr>
          <w:rFonts w:ascii="Arial" w:hAnsi="Arial" w:cs="Arial"/>
          <w:sz w:val="24"/>
        </w:rPr>
      </w:pPr>
      <w:r>
        <w:rPr>
          <w:rFonts w:ascii="Arial" w:hAnsi="Arial" w:cs="Arial"/>
          <w:sz w:val="24"/>
          <w:szCs w:val="24"/>
          <w:lang w:val="en-GB"/>
        </w:rPr>
        <w:t>Tarn Moor Estate</w:t>
      </w:r>
      <w:r w:rsidRPr="00E65085">
        <w:rPr>
          <w:sz w:val="24"/>
        </w:rPr>
        <w:t xml:space="preserve"> </w:t>
      </w:r>
      <w:r w:rsidRPr="00E65085">
        <w:rPr>
          <w:rFonts w:ascii="Arial" w:hAnsi="Arial" w:cs="Arial"/>
          <w:sz w:val="24"/>
        </w:rPr>
        <w:t xml:space="preserve">will ensure that data is collected </w:t>
      </w:r>
      <w:r w:rsidR="00A74409">
        <w:rPr>
          <w:rFonts w:ascii="Arial" w:hAnsi="Arial" w:cs="Arial"/>
          <w:sz w:val="24"/>
        </w:rPr>
        <w:t>in accordance wit</w:t>
      </w:r>
      <w:r w:rsidR="008A49F1">
        <w:rPr>
          <w:rFonts w:ascii="Arial" w:hAnsi="Arial" w:cs="Arial"/>
          <w:sz w:val="24"/>
        </w:rPr>
        <w:t>h the Principles of Data Protection, as detailed in the GDPR 2018</w:t>
      </w:r>
      <w:r w:rsidR="00162AA8">
        <w:rPr>
          <w:rFonts w:ascii="Arial" w:hAnsi="Arial" w:cs="Arial"/>
          <w:sz w:val="24"/>
        </w:rPr>
        <w:t>,</w:t>
      </w:r>
      <w:r w:rsidR="008A49F1">
        <w:rPr>
          <w:rFonts w:ascii="Arial" w:hAnsi="Arial" w:cs="Arial"/>
          <w:sz w:val="24"/>
        </w:rPr>
        <w:t xml:space="preserve"> and </w:t>
      </w:r>
      <w:r w:rsidRPr="00E65085">
        <w:rPr>
          <w:rFonts w:ascii="Arial" w:hAnsi="Arial" w:cs="Arial"/>
          <w:sz w:val="24"/>
        </w:rPr>
        <w:t>within the boundaries defined in this policy. This applies to data that is collected in person, or by completing a form.</w:t>
      </w:r>
    </w:p>
    <w:p w14:paraId="3119DE9C" w14:textId="77777777" w:rsidR="000E5E4F" w:rsidRPr="000E5E4F" w:rsidRDefault="000E5E4F" w:rsidP="000E5E4F">
      <w:pPr>
        <w:spacing w:before="240" w:after="240"/>
        <w:jc w:val="both"/>
        <w:outlineLvl w:val="0"/>
        <w:rPr>
          <w:rFonts w:ascii="Arial" w:hAnsi="Arial" w:cs="Arial"/>
          <w:b/>
          <w:bCs/>
          <w:sz w:val="24"/>
          <w:szCs w:val="24"/>
          <w:u w:val="single"/>
        </w:rPr>
      </w:pPr>
      <w:r w:rsidRPr="000E5E4F">
        <w:rPr>
          <w:rFonts w:ascii="Arial" w:hAnsi="Arial" w:cs="Arial"/>
          <w:b/>
          <w:bCs/>
          <w:sz w:val="24"/>
          <w:szCs w:val="24"/>
          <w:u w:val="single"/>
        </w:rPr>
        <w:t>Data Storage</w:t>
      </w:r>
    </w:p>
    <w:p w14:paraId="487DD592" w14:textId="726600DF" w:rsidR="000E5E4F" w:rsidRPr="000E5E4F" w:rsidRDefault="000E5E4F" w:rsidP="000E5E4F">
      <w:pPr>
        <w:spacing w:before="240" w:after="240"/>
        <w:jc w:val="both"/>
        <w:rPr>
          <w:rFonts w:ascii="Arial" w:hAnsi="Arial" w:cs="Arial"/>
          <w:sz w:val="24"/>
          <w:szCs w:val="24"/>
        </w:rPr>
      </w:pPr>
      <w:r w:rsidRPr="000E5E4F">
        <w:rPr>
          <w:rFonts w:ascii="Arial" w:hAnsi="Arial" w:cs="Arial"/>
          <w:sz w:val="24"/>
          <w:szCs w:val="24"/>
        </w:rPr>
        <w:t>Information and r</w:t>
      </w:r>
      <w:r w:rsidR="00D11A9B">
        <w:rPr>
          <w:rFonts w:ascii="Arial" w:hAnsi="Arial" w:cs="Arial"/>
          <w:sz w:val="24"/>
          <w:szCs w:val="24"/>
        </w:rPr>
        <w:t>ecords relating to data subjects</w:t>
      </w:r>
      <w:r w:rsidRPr="000E5E4F">
        <w:rPr>
          <w:rFonts w:ascii="Arial" w:hAnsi="Arial" w:cs="Arial"/>
          <w:sz w:val="24"/>
          <w:szCs w:val="24"/>
        </w:rPr>
        <w:t xml:space="preserve"> will be stored securely and will only be accessible to authorised agents and volunteers.</w:t>
      </w:r>
    </w:p>
    <w:p w14:paraId="1E772625" w14:textId="1B0366D5" w:rsidR="000E5E4F" w:rsidRPr="000E5E4F" w:rsidRDefault="000E5E4F" w:rsidP="000E5E4F">
      <w:pPr>
        <w:spacing w:before="240" w:after="240"/>
        <w:jc w:val="both"/>
        <w:rPr>
          <w:rFonts w:ascii="Arial" w:hAnsi="Arial" w:cs="Arial"/>
          <w:sz w:val="24"/>
          <w:szCs w:val="24"/>
        </w:rPr>
      </w:pPr>
      <w:r w:rsidRPr="000E5E4F">
        <w:rPr>
          <w:rFonts w:ascii="Arial" w:hAnsi="Arial" w:cs="Arial"/>
          <w:sz w:val="24"/>
          <w:szCs w:val="24"/>
        </w:rPr>
        <w:t xml:space="preserve">Information will be stored for only as long as it is needed or required </w:t>
      </w:r>
      <w:r w:rsidR="00D11A9B">
        <w:rPr>
          <w:rFonts w:ascii="Arial" w:hAnsi="Arial" w:cs="Arial"/>
          <w:sz w:val="24"/>
          <w:szCs w:val="24"/>
        </w:rPr>
        <w:t xml:space="preserve">by </w:t>
      </w:r>
      <w:r w:rsidRPr="000E5E4F">
        <w:rPr>
          <w:rFonts w:ascii="Arial" w:hAnsi="Arial" w:cs="Arial"/>
          <w:sz w:val="24"/>
          <w:szCs w:val="24"/>
        </w:rPr>
        <w:t>statute and will be disposed of appropriately.</w:t>
      </w:r>
    </w:p>
    <w:p w14:paraId="5BFF26B1" w14:textId="77777777" w:rsidR="000E5E4F" w:rsidRPr="00E65085" w:rsidRDefault="000E5E4F" w:rsidP="000E5E4F">
      <w:pPr>
        <w:pStyle w:val="BodyText"/>
        <w:spacing w:before="240" w:after="240"/>
        <w:jc w:val="both"/>
        <w:rPr>
          <w:sz w:val="24"/>
        </w:rPr>
      </w:pPr>
      <w:r w:rsidRPr="00E65085">
        <w:rPr>
          <w:sz w:val="24"/>
        </w:rPr>
        <w:t xml:space="preserve">It is </w:t>
      </w:r>
      <w:r>
        <w:rPr>
          <w:rFonts w:cs="Arial"/>
          <w:sz w:val="24"/>
          <w:lang w:val="en-GB"/>
        </w:rPr>
        <w:t>the charity’s</w:t>
      </w:r>
      <w:r w:rsidRPr="008473C0">
        <w:rPr>
          <w:rFonts w:cs="Arial"/>
          <w:color w:val="FF9900"/>
          <w:sz w:val="24"/>
          <w:lang w:val="en-GB"/>
        </w:rPr>
        <w:t xml:space="preserve"> </w:t>
      </w:r>
      <w:r w:rsidRPr="00E65085">
        <w:rPr>
          <w:sz w:val="24"/>
        </w:rPr>
        <w:t xml:space="preserve">responsibility to </w:t>
      </w:r>
      <w:r>
        <w:rPr>
          <w:sz w:val="24"/>
        </w:rPr>
        <w:t xml:space="preserve">ensure all personal </w:t>
      </w:r>
      <w:r w:rsidRPr="00E65085">
        <w:rPr>
          <w:sz w:val="24"/>
        </w:rPr>
        <w:t>data is non-recoverable from any computer system previously used within the organisation, which has been passed on/sold to a third party.</w:t>
      </w:r>
    </w:p>
    <w:p w14:paraId="667C388E" w14:textId="77777777" w:rsidR="000E5E4F" w:rsidRPr="000E5E4F" w:rsidRDefault="000E5E4F" w:rsidP="000E5E4F">
      <w:pPr>
        <w:spacing w:before="240" w:after="240"/>
        <w:jc w:val="both"/>
        <w:outlineLvl w:val="0"/>
        <w:rPr>
          <w:rFonts w:ascii="Arial" w:hAnsi="Arial" w:cs="Arial"/>
          <w:sz w:val="24"/>
          <w:szCs w:val="24"/>
          <w:u w:val="single"/>
        </w:rPr>
      </w:pPr>
      <w:r w:rsidRPr="000E5E4F">
        <w:rPr>
          <w:rFonts w:ascii="Arial" w:hAnsi="Arial" w:cs="Arial"/>
          <w:b/>
          <w:bCs/>
          <w:sz w:val="24"/>
          <w:szCs w:val="24"/>
          <w:u w:val="single"/>
        </w:rPr>
        <w:lastRenderedPageBreak/>
        <w:t>Data</w:t>
      </w:r>
      <w:r w:rsidRPr="000E5E4F">
        <w:rPr>
          <w:rFonts w:ascii="Arial" w:hAnsi="Arial" w:cs="Arial"/>
          <w:sz w:val="24"/>
          <w:szCs w:val="24"/>
          <w:u w:val="single"/>
        </w:rPr>
        <w:t xml:space="preserve"> </w:t>
      </w:r>
      <w:r w:rsidRPr="000E5E4F">
        <w:rPr>
          <w:rFonts w:ascii="Arial" w:hAnsi="Arial" w:cs="Arial"/>
          <w:b/>
          <w:sz w:val="24"/>
          <w:szCs w:val="24"/>
          <w:u w:val="single"/>
        </w:rPr>
        <w:t>access and accuracy</w:t>
      </w:r>
    </w:p>
    <w:p w14:paraId="46927AC6" w14:textId="542F446F" w:rsidR="000E5E4F" w:rsidRPr="000E5E4F" w:rsidRDefault="000E5E4F" w:rsidP="000E5E4F">
      <w:pPr>
        <w:spacing w:before="240" w:after="240"/>
        <w:jc w:val="both"/>
        <w:rPr>
          <w:rFonts w:ascii="Arial" w:hAnsi="Arial" w:cs="Arial"/>
          <w:sz w:val="24"/>
          <w:szCs w:val="24"/>
        </w:rPr>
      </w:pPr>
      <w:r w:rsidRPr="000E5E4F">
        <w:rPr>
          <w:rFonts w:ascii="Arial" w:hAnsi="Arial" w:cs="Arial"/>
          <w:sz w:val="24"/>
          <w:szCs w:val="24"/>
        </w:rPr>
        <w:t>All Data Subjects have the right to access the information the charity holds about them. The charity will also take reasonable steps to ensure that this information is kept up to date.</w:t>
      </w:r>
    </w:p>
    <w:p w14:paraId="7C7CD9F0" w14:textId="77777777" w:rsidR="000E5E4F" w:rsidRPr="00E65085" w:rsidRDefault="000E5E4F" w:rsidP="000E5E4F">
      <w:pPr>
        <w:pStyle w:val="Paragraph"/>
        <w:keepLines/>
        <w:spacing w:before="240" w:after="240"/>
        <w:rPr>
          <w:rFonts w:ascii="Arial" w:hAnsi="Arial" w:cs="Arial"/>
          <w:sz w:val="24"/>
        </w:rPr>
      </w:pPr>
      <w:r w:rsidRPr="00E65085">
        <w:rPr>
          <w:rFonts w:ascii="Arial" w:hAnsi="Arial" w:cs="Arial"/>
          <w:bCs/>
          <w:sz w:val="24"/>
        </w:rPr>
        <w:t>In addition</w:t>
      </w:r>
      <w:r w:rsidRPr="00E65085">
        <w:rPr>
          <w:rFonts w:ascii="Arial" w:hAnsi="Arial" w:cs="Arial"/>
          <w:b/>
          <w:bCs/>
          <w:sz w:val="24"/>
        </w:rPr>
        <w:t xml:space="preserve">, </w:t>
      </w:r>
      <w:r>
        <w:rPr>
          <w:rFonts w:ascii="Arial" w:hAnsi="Arial" w:cs="Arial"/>
          <w:sz w:val="24"/>
          <w:szCs w:val="24"/>
          <w:lang w:val="en-GB"/>
        </w:rPr>
        <w:t xml:space="preserve">the charity </w:t>
      </w:r>
      <w:r w:rsidRPr="00E65085">
        <w:rPr>
          <w:rFonts w:ascii="Arial" w:hAnsi="Arial" w:cs="Arial"/>
          <w:bCs/>
          <w:sz w:val="24"/>
        </w:rPr>
        <w:t>will ensure that:</w:t>
      </w:r>
    </w:p>
    <w:p w14:paraId="5CC1CE7D" w14:textId="2249014A" w:rsidR="000E5E4F" w:rsidRPr="00E65085" w:rsidRDefault="000E5E4F" w:rsidP="000E5E4F">
      <w:pPr>
        <w:pStyle w:val="ListBullet"/>
        <w:numPr>
          <w:ilvl w:val="0"/>
          <w:numId w:val="28"/>
        </w:numPr>
        <w:tabs>
          <w:tab w:val="clear" w:pos="1418"/>
          <w:tab w:val="num" w:pos="1134"/>
        </w:tabs>
        <w:ind w:left="1134" w:hanging="425"/>
        <w:jc w:val="both"/>
        <w:rPr>
          <w:b w:val="0"/>
          <w:i w:val="0"/>
          <w:sz w:val="24"/>
        </w:rPr>
      </w:pPr>
      <w:r w:rsidRPr="00E65085">
        <w:rPr>
          <w:b w:val="0"/>
          <w:i w:val="0"/>
          <w:sz w:val="24"/>
        </w:rPr>
        <w:t>It compli</w:t>
      </w:r>
      <w:r w:rsidR="00023A7E">
        <w:rPr>
          <w:b w:val="0"/>
          <w:i w:val="0"/>
          <w:sz w:val="24"/>
        </w:rPr>
        <w:t>es</w:t>
      </w:r>
      <w:r w:rsidRPr="00E65085">
        <w:rPr>
          <w:b w:val="0"/>
          <w:i w:val="0"/>
          <w:sz w:val="24"/>
        </w:rPr>
        <w:t xml:space="preserve"> with Data Protection</w:t>
      </w:r>
      <w:r w:rsidR="00023A7E">
        <w:rPr>
          <w:b w:val="0"/>
          <w:i w:val="0"/>
          <w:sz w:val="24"/>
        </w:rPr>
        <w:t xml:space="preserve"> principles</w:t>
      </w:r>
      <w:r w:rsidRPr="00E65085">
        <w:rPr>
          <w:b w:val="0"/>
          <w:i w:val="0"/>
          <w:sz w:val="24"/>
        </w:rPr>
        <w:t>,</w:t>
      </w:r>
    </w:p>
    <w:p w14:paraId="121B6675" w14:textId="77777777" w:rsidR="000E5E4F" w:rsidRPr="00E65085" w:rsidRDefault="000E5E4F" w:rsidP="000E5E4F">
      <w:pPr>
        <w:pStyle w:val="ListBullet"/>
        <w:numPr>
          <w:ilvl w:val="0"/>
          <w:numId w:val="28"/>
        </w:numPr>
        <w:tabs>
          <w:tab w:val="clear" w:pos="1418"/>
          <w:tab w:val="num" w:pos="1134"/>
        </w:tabs>
        <w:ind w:left="1134" w:hanging="425"/>
        <w:jc w:val="both"/>
        <w:rPr>
          <w:b w:val="0"/>
          <w:i w:val="0"/>
          <w:sz w:val="24"/>
        </w:rPr>
      </w:pPr>
      <w:r w:rsidRPr="00E65085">
        <w:rPr>
          <w:b w:val="0"/>
          <w:i w:val="0"/>
          <w:sz w:val="24"/>
        </w:rPr>
        <w:t>Everyone processing personal information understands that they are contractually responsible for following good data protection practice,</w:t>
      </w:r>
    </w:p>
    <w:p w14:paraId="40365033" w14:textId="77777777" w:rsidR="000E5E4F" w:rsidRPr="00E65085" w:rsidRDefault="000E5E4F" w:rsidP="000E5E4F">
      <w:pPr>
        <w:pStyle w:val="ListBullet"/>
        <w:numPr>
          <w:ilvl w:val="0"/>
          <w:numId w:val="28"/>
        </w:numPr>
        <w:tabs>
          <w:tab w:val="clear" w:pos="1418"/>
          <w:tab w:val="num" w:pos="1134"/>
        </w:tabs>
        <w:ind w:left="1134" w:hanging="425"/>
        <w:jc w:val="both"/>
        <w:rPr>
          <w:b w:val="0"/>
          <w:i w:val="0"/>
          <w:sz w:val="24"/>
        </w:rPr>
      </w:pPr>
      <w:r w:rsidRPr="00E65085">
        <w:rPr>
          <w:b w:val="0"/>
          <w:i w:val="0"/>
          <w:sz w:val="24"/>
        </w:rPr>
        <w:t>Everyone processing personal information is appropriately trained to do so,</w:t>
      </w:r>
    </w:p>
    <w:p w14:paraId="7EAF891E" w14:textId="77777777" w:rsidR="000E5E4F" w:rsidRPr="00E65085" w:rsidRDefault="000E5E4F" w:rsidP="000E5E4F">
      <w:pPr>
        <w:pStyle w:val="ListBullet"/>
        <w:numPr>
          <w:ilvl w:val="0"/>
          <w:numId w:val="28"/>
        </w:numPr>
        <w:tabs>
          <w:tab w:val="clear" w:pos="1418"/>
          <w:tab w:val="num" w:pos="1134"/>
        </w:tabs>
        <w:ind w:left="1134" w:hanging="425"/>
        <w:jc w:val="both"/>
        <w:rPr>
          <w:b w:val="0"/>
          <w:i w:val="0"/>
          <w:sz w:val="24"/>
        </w:rPr>
      </w:pPr>
      <w:r w:rsidRPr="00E65085">
        <w:rPr>
          <w:b w:val="0"/>
          <w:i w:val="0"/>
          <w:sz w:val="24"/>
        </w:rPr>
        <w:t>Everyone processing personal information is appropriately supervised,</w:t>
      </w:r>
    </w:p>
    <w:p w14:paraId="2F2C46E0" w14:textId="77777777" w:rsidR="000E5E4F" w:rsidRPr="00E65085" w:rsidRDefault="000E5E4F" w:rsidP="000E5E4F">
      <w:pPr>
        <w:pStyle w:val="ListBullet"/>
        <w:numPr>
          <w:ilvl w:val="0"/>
          <w:numId w:val="28"/>
        </w:numPr>
        <w:tabs>
          <w:tab w:val="clear" w:pos="1418"/>
          <w:tab w:val="num" w:pos="1134"/>
        </w:tabs>
        <w:ind w:left="1134" w:hanging="425"/>
        <w:jc w:val="both"/>
        <w:rPr>
          <w:b w:val="0"/>
          <w:i w:val="0"/>
          <w:sz w:val="24"/>
        </w:rPr>
      </w:pPr>
      <w:r w:rsidRPr="00E65085">
        <w:rPr>
          <w:b w:val="0"/>
          <w:i w:val="0"/>
          <w:sz w:val="24"/>
        </w:rPr>
        <w:t>Anybody wanting to make enquiries about handling personal information knows what to do,</w:t>
      </w:r>
    </w:p>
    <w:p w14:paraId="50A7C655" w14:textId="77777777" w:rsidR="000E5E4F" w:rsidRPr="00E65085" w:rsidRDefault="000E5E4F" w:rsidP="000E5E4F">
      <w:pPr>
        <w:pStyle w:val="ListBullet"/>
        <w:numPr>
          <w:ilvl w:val="0"/>
          <w:numId w:val="28"/>
        </w:numPr>
        <w:tabs>
          <w:tab w:val="clear" w:pos="1418"/>
          <w:tab w:val="num" w:pos="1134"/>
        </w:tabs>
        <w:ind w:left="1134" w:hanging="425"/>
        <w:jc w:val="both"/>
        <w:rPr>
          <w:b w:val="0"/>
          <w:i w:val="0"/>
          <w:sz w:val="24"/>
        </w:rPr>
      </w:pPr>
      <w:r w:rsidRPr="00E65085">
        <w:rPr>
          <w:b w:val="0"/>
          <w:i w:val="0"/>
          <w:sz w:val="24"/>
        </w:rPr>
        <w:t>It deals promptly and courteously with any enquiries about handling personal information,</w:t>
      </w:r>
    </w:p>
    <w:p w14:paraId="4F70853E" w14:textId="77777777" w:rsidR="000E5E4F" w:rsidRPr="00E65085" w:rsidRDefault="000E5E4F" w:rsidP="000E5E4F">
      <w:pPr>
        <w:pStyle w:val="ListBullet"/>
        <w:numPr>
          <w:ilvl w:val="0"/>
          <w:numId w:val="28"/>
        </w:numPr>
        <w:tabs>
          <w:tab w:val="clear" w:pos="1418"/>
          <w:tab w:val="num" w:pos="1134"/>
        </w:tabs>
        <w:ind w:left="1134" w:hanging="425"/>
        <w:jc w:val="both"/>
        <w:rPr>
          <w:b w:val="0"/>
          <w:i w:val="0"/>
          <w:sz w:val="24"/>
        </w:rPr>
      </w:pPr>
      <w:r w:rsidRPr="00E65085">
        <w:rPr>
          <w:b w:val="0"/>
          <w:i w:val="0"/>
          <w:sz w:val="24"/>
        </w:rPr>
        <w:t>It describes clearly how it handles personal information,</w:t>
      </w:r>
    </w:p>
    <w:p w14:paraId="2AB4779D" w14:textId="77777777" w:rsidR="000E5E4F" w:rsidRPr="00E65085" w:rsidRDefault="000E5E4F" w:rsidP="000E5E4F">
      <w:pPr>
        <w:pStyle w:val="ListBullet"/>
        <w:numPr>
          <w:ilvl w:val="0"/>
          <w:numId w:val="28"/>
        </w:numPr>
        <w:tabs>
          <w:tab w:val="clear" w:pos="1418"/>
          <w:tab w:val="num" w:pos="1134"/>
        </w:tabs>
        <w:ind w:left="1134" w:hanging="425"/>
        <w:jc w:val="both"/>
        <w:rPr>
          <w:b w:val="0"/>
          <w:i w:val="0"/>
          <w:sz w:val="24"/>
        </w:rPr>
      </w:pPr>
      <w:r w:rsidRPr="00E65085">
        <w:rPr>
          <w:b w:val="0"/>
          <w:i w:val="0"/>
          <w:sz w:val="24"/>
        </w:rPr>
        <w:t>It will regularly review and audit the ways it hold</w:t>
      </w:r>
      <w:r>
        <w:rPr>
          <w:b w:val="0"/>
          <w:i w:val="0"/>
          <w:sz w:val="24"/>
        </w:rPr>
        <w:t>s</w:t>
      </w:r>
      <w:r w:rsidRPr="00E65085">
        <w:rPr>
          <w:b w:val="0"/>
          <w:i w:val="0"/>
          <w:sz w:val="24"/>
        </w:rPr>
        <w:t>, manage</w:t>
      </w:r>
      <w:r>
        <w:rPr>
          <w:b w:val="0"/>
          <w:i w:val="0"/>
          <w:sz w:val="24"/>
        </w:rPr>
        <w:t>s</w:t>
      </w:r>
      <w:r w:rsidRPr="00E65085">
        <w:rPr>
          <w:b w:val="0"/>
          <w:i w:val="0"/>
          <w:sz w:val="24"/>
        </w:rPr>
        <w:t xml:space="preserve"> and use</w:t>
      </w:r>
      <w:r>
        <w:rPr>
          <w:b w:val="0"/>
          <w:i w:val="0"/>
          <w:sz w:val="24"/>
        </w:rPr>
        <w:t>s</w:t>
      </w:r>
      <w:r w:rsidRPr="00E65085">
        <w:rPr>
          <w:b w:val="0"/>
          <w:i w:val="0"/>
          <w:sz w:val="24"/>
        </w:rPr>
        <w:t xml:space="preserve"> personal information </w:t>
      </w:r>
    </w:p>
    <w:p w14:paraId="685D7E93" w14:textId="77777777" w:rsidR="000E5E4F" w:rsidRPr="00E65085" w:rsidRDefault="000E5E4F" w:rsidP="000E5E4F">
      <w:pPr>
        <w:pStyle w:val="ListBullet"/>
        <w:numPr>
          <w:ilvl w:val="0"/>
          <w:numId w:val="28"/>
        </w:numPr>
        <w:tabs>
          <w:tab w:val="clear" w:pos="1418"/>
          <w:tab w:val="num" w:pos="1134"/>
        </w:tabs>
        <w:ind w:left="1134" w:hanging="425"/>
        <w:jc w:val="both"/>
        <w:rPr>
          <w:b w:val="0"/>
          <w:i w:val="0"/>
          <w:sz w:val="24"/>
        </w:rPr>
      </w:pPr>
      <w:r w:rsidRPr="00E65085">
        <w:rPr>
          <w:b w:val="0"/>
          <w:i w:val="0"/>
          <w:sz w:val="24"/>
        </w:rPr>
        <w:t xml:space="preserve">It regularly assesses and evaluates its methods and performance in relation to handling personal information  </w:t>
      </w:r>
    </w:p>
    <w:p w14:paraId="65CDC49C" w14:textId="77777777" w:rsidR="000E5E4F" w:rsidRPr="00E65085" w:rsidRDefault="000E5E4F" w:rsidP="000E5E4F">
      <w:pPr>
        <w:pStyle w:val="ListBullet"/>
        <w:numPr>
          <w:ilvl w:val="0"/>
          <w:numId w:val="28"/>
        </w:numPr>
        <w:tabs>
          <w:tab w:val="clear" w:pos="1418"/>
          <w:tab w:val="num" w:pos="1134"/>
        </w:tabs>
        <w:ind w:left="1134" w:hanging="425"/>
        <w:jc w:val="both"/>
        <w:rPr>
          <w:sz w:val="24"/>
        </w:rPr>
      </w:pPr>
      <w:r>
        <w:rPr>
          <w:b w:val="0"/>
          <w:i w:val="0"/>
          <w:sz w:val="24"/>
        </w:rPr>
        <w:t>All agents and volunteers</w:t>
      </w:r>
      <w:r w:rsidRPr="00E65085">
        <w:rPr>
          <w:b w:val="0"/>
          <w:i w:val="0"/>
          <w:sz w:val="24"/>
        </w:rPr>
        <w:t xml:space="preserve"> are aware that a breach of the rules and procedures identified in this policy may lead to disciplinary action being taken against them</w:t>
      </w:r>
    </w:p>
    <w:p w14:paraId="21FC9480" w14:textId="68B3F085" w:rsidR="000E5E4F" w:rsidRPr="00E65085" w:rsidRDefault="000E5E4F" w:rsidP="000E5E4F">
      <w:pPr>
        <w:pStyle w:val="BodyText"/>
        <w:spacing w:before="240" w:after="240"/>
        <w:jc w:val="both"/>
        <w:rPr>
          <w:sz w:val="24"/>
          <w:szCs w:val="22"/>
        </w:rPr>
      </w:pPr>
      <w:r w:rsidRPr="00E65085">
        <w:rPr>
          <w:sz w:val="24"/>
          <w:szCs w:val="22"/>
        </w:rPr>
        <w:t xml:space="preserve">This policy will be updated as necessary to reflect best practice in data management, security and control and to ensure compliance with any changes or amendments made to the Data Protection Act </w:t>
      </w:r>
      <w:r w:rsidR="000B53BD">
        <w:rPr>
          <w:sz w:val="24"/>
          <w:szCs w:val="22"/>
        </w:rPr>
        <w:t>2018</w:t>
      </w:r>
      <w:r w:rsidRPr="00E65085">
        <w:rPr>
          <w:sz w:val="24"/>
          <w:szCs w:val="22"/>
        </w:rPr>
        <w:t>.</w:t>
      </w:r>
    </w:p>
    <w:p w14:paraId="71D9C7B1" w14:textId="5A1EFAB4" w:rsidR="000E5E4F" w:rsidRPr="00E65085" w:rsidRDefault="000E5E4F" w:rsidP="000E5E4F">
      <w:pPr>
        <w:pStyle w:val="BodyText"/>
        <w:spacing w:before="240" w:after="240"/>
        <w:jc w:val="both"/>
        <w:rPr>
          <w:sz w:val="24"/>
        </w:rPr>
      </w:pPr>
      <w:r w:rsidRPr="00E65085">
        <w:rPr>
          <w:sz w:val="24"/>
        </w:rPr>
        <w:t xml:space="preserve">In case of any queries or questions in relation to this policy please contact the </w:t>
      </w:r>
      <w:r>
        <w:rPr>
          <w:sz w:val="24"/>
        </w:rPr>
        <w:t>Clerk to the Trustees.</w:t>
      </w:r>
    </w:p>
    <w:p w14:paraId="6136866E" w14:textId="77777777" w:rsidR="000B1188" w:rsidRPr="006679AB" w:rsidRDefault="006679AB" w:rsidP="006679AB">
      <w:pPr>
        <w:ind w:left="360"/>
        <w:rPr>
          <w:rFonts w:ascii="Times New Roman" w:hAnsi="Times New Roman" w:cs="Times New Roman"/>
          <w:sz w:val="28"/>
          <w:szCs w:val="28"/>
        </w:rPr>
      </w:pPr>
      <w:r w:rsidRPr="006679AB">
        <w:rPr>
          <w:rFonts w:ascii="Times New Roman" w:hAnsi="Times New Roman" w:cs="Times New Roman"/>
          <w:b/>
          <w:sz w:val="28"/>
          <w:szCs w:val="28"/>
          <w:u w:val="single"/>
        </w:rPr>
        <w:t>This policy is reviewed on an annual basis</w:t>
      </w:r>
    </w:p>
    <w:sectPr w:rsidR="000B1188" w:rsidRPr="006679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F3B2" w14:textId="77777777" w:rsidR="00223D06" w:rsidRDefault="00223D06" w:rsidP="00D06055">
      <w:pPr>
        <w:spacing w:after="0" w:line="240" w:lineRule="auto"/>
      </w:pPr>
      <w:r>
        <w:separator/>
      </w:r>
    </w:p>
  </w:endnote>
  <w:endnote w:type="continuationSeparator" w:id="0">
    <w:p w14:paraId="0300127E" w14:textId="77777777" w:rsidR="00223D06" w:rsidRDefault="00223D06" w:rsidP="00D06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692A" w14:textId="77777777" w:rsidR="00223D06" w:rsidRDefault="00223D06" w:rsidP="00D06055">
      <w:pPr>
        <w:spacing w:after="0" w:line="240" w:lineRule="auto"/>
      </w:pPr>
      <w:r>
        <w:separator/>
      </w:r>
    </w:p>
  </w:footnote>
  <w:footnote w:type="continuationSeparator" w:id="0">
    <w:p w14:paraId="0A601FE0" w14:textId="77777777" w:rsidR="00223D06" w:rsidRDefault="00223D06" w:rsidP="00D06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51"/>
    <w:multiLevelType w:val="hybridMultilevel"/>
    <w:tmpl w:val="45264B2C"/>
    <w:lvl w:ilvl="0" w:tplc="0D3C335A">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Lucida Grande"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Lucida Grande"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Lucida Grande"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8392D79"/>
    <w:multiLevelType w:val="hybridMultilevel"/>
    <w:tmpl w:val="5BE01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2918"/>
    <w:multiLevelType w:val="hybridMultilevel"/>
    <w:tmpl w:val="8572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5329E"/>
    <w:multiLevelType w:val="hybridMultilevel"/>
    <w:tmpl w:val="418296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267CCE"/>
    <w:multiLevelType w:val="hybridMultilevel"/>
    <w:tmpl w:val="6B2A8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857B4"/>
    <w:multiLevelType w:val="hybridMultilevel"/>
    <w:tmpl w:val="5636E0C2"/>
    <w:lvl w:ilvl="0" w:tplc="117ABDFE">
      <w:start w:val="1"/>
      <w:numFmt w:val="lowerRoman"/>
      <w:lvlText w:val="(%1)"/>
      <w:lvlJc w:val="lef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60371"/>
    <w:multiLevelType w:val="hybridMultilevel"/>
    <w:tmpl w:val="810AD9E4"/>
    <w:lvl w:ilvl="0" w:tplc="F854997E">
      <w:numFmt w:val="bullet"/>
      <w:lvlText w:val=""/>
      <w:lvlJc w:val="left"/>
      <w:pPr>
        <w:tabs>
          <w:tab w:val="num" w:pos="1418"/>
        </w:tabs>
        <w:ind w:left="1418" w:hanging="37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926540"/>
    <w:multiLevelType w:val="hybridMultilevel"/>
    <w:tmpl w:val="2C481FEA"/>
    <w:lvl w:ilvl="0" w:tplc="0D3C335A">
      <w:start w:val="1"/>
      <w:numFmt w:val="bullet"/>
      <w:pStyle w:val="Heading2"/>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Lucida Grande"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Lucida Grande"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Lucida Grande"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0365108"/>
    <w:multiLevelType w:val="hybridMultilevel"/>
    <w:tmpl w:val="FE5E10E8"/>
    <w:lvl w:ilvl="0" w:tplc="EC4CE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B5AD1"/>
    <w:multiLevelType w:val="hybridMultilevel"/>
    <w:tmpl w:val="A2ECCDD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650078"/>
    <w:multiLevelType w:val="hybridMultilevel"/>
    <w:tmpl w:val="5B24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964F15"/>
    <w:multiLevelType w:val="hybridMultilevel"/>
    <w:tmpl w:val="3B6052DA"/>
    <w:lvl w:ilvl="0" w:tplc="0D3C335A">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Lucida Grande"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Lucida Grande"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Lucida Grande"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41C276DE"/>
    <w:multiLevelType w:val="hybridMultilevel"/>
    <w:tmpl w:val="EB6E6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F655CB"/>
    <w:multiLevelType w:val="hybridMultilevel"/>
    <w:tmpl w:val="AA0E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D64C41"/>
    <w:multiLevelType w:val="hybridMultilevel"/>
    <w:tmpl w:val="3300D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7441E"/>
    <w:multiLevelType w:val="hybridMultilevel"/>
    <w:tmpl w:val="0770B8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3117870"/>
    <w:multiLevelType w:val="hybridMultilevel"/>
    <w:tmpl w:val="7FB85A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4C25AE7"/>
    <w:multiLevelType w:val="hybridMultilevel"/>
    <w:tmpl w:val="607E5876"/>
    <w:lvl w:ilvl="0" w:tplc="CFF8DA3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9C798B"/>
    <w:multiLevelType w:val="hybridMultilevel"/>
    <w:tmpl w:val="17101072"/>
    <w:lvl w:ilvl="0" w:tplc="0D3C335A">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Lucida Grande"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Lucida Grande"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Lucida Grande"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5A373B1C"/>
    <w:multiLevelType w:val="hybridMultilevel"/>
    <w:tmpl w:val="F0BAD27C"/>
    <w:lvl w:ilvl="0" w:tplc="11E268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3D2FC1"/>
    <w:multiLevelType w:val="hybridMultilevel"/>
    <w:tmpl w:val="63E4B17A"/>
    <w:lvl w:ilvl="0" w:tplc="0D3C335A">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Lucida Grande"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Lucida Grande"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Lucida Grande"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D4855A5"/>
    <w:multiLevelType w:val="hybridMultilevel"/>
    <w:tmpl w:val="A48E8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C06C1"/>
    <w:multiLevelType w:val="hybridMultilevel"/>
    <w:tmpl w:val="A8F0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35432"/>
    <w:multiLevelType w:val="hybridMultilevel"/>
    <w:tmpl w:val="72103504"/>
    <w:lvl w:ilvl="0" w:tplc="F854997E">
      <w:numFmt w:val="bullet"/>
      <w:lvlText w:val=""/>
      <w:lvlJc w:val="left"/>
      <w:pPr>
        <w:tabs>
          <w:tab w:val="num" w:pos="1418"/>
        </w:tabs>
        <w:ind w:left="1418" w:hanging="37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975B10"/>
    <w:multiLevelType w:val="hybridMultilevel"/>
    <w:tmpl w:val="91EC8A4C"/>
    <w:lvl w:ilvl="0" w:tplc="0D3C335A">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Lucida Grande"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Lucida Grande"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Lucida Grande"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6F80567D"/>
    <w:multiLevelType w:val="hybridMultilevel"/>
    <w:tmpl w:val="86362610"/>
    <w:lvl w:ilvl="0" w:tplc="0D3C335A">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Lucida Grande"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Lucida Grande"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Lucida Grande"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745C362B"/>
    <w:multiLevelType w:val="hybridMultilevel"/>
    <w:tmpl w:val="BCBE6BCA"/>
    <w:lvl w:ilvl="0" w:tplc="0D3C335A">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Lucida Grande"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Lucida Grande"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Lucida Grande"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78080B73"/>
    <w:multiLevelType w:val="hybridMultilevel"/>
    <w:tmpl w:val="CF64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DF16A1"/>
    <w:multiLevelType w:val="hybridMultilevel"/>
    <w:tmpl w:val="C5E2F99E"/>
    <w:lvl w:ilvl="0" w:tplc="0D3C335A">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Lucida Grande"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Lucida Grande"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Lucida Grande"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7F1F2ED2"/>
    <w:multiLevelType w:val="hybridMultilevel"/>
    <w:tmpl w:val="BA82A182"/>
    <w:lvl w:ilvl="0" w:tplc="08090001">
      <w:start w:val="1"/>
      <w:numFmt w:val="bullet"/>
      <w:lvlText w:val=""/>
      <w:lvlJc w:val="left"/>
      <w:pPr>
        <w:ind w:left="360" w:hanging="360"/>
      </w:pPr>
      <w:rPr>
        <w:rFonts w:ascii="Symbol" w:hAnsi="Symbol" w:hint="default"/>
      </w:rPr>
    </w:lvl>
    <w:lvl w:ilvl="1" w:tplc="DA5ED5B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7459915">
    <w:abstractNumId w:val="19"/>
  </w:num>
  <w:num w:numId="2" w16cid:durableId="233396168">
    <w:abstractNumId w:val="22"/>
  </w:num>
  <w:num w:numId="3" w16cid:durableId="389040902">
    <w:abstractNumId w:val="2"/>
  </w:num>
  <w:num w:numId="4" w16cid:durableId="1627807714">
    <w:abstractNumId w:val="27"/>
  </w:num>
  <w:num w:numId="5" w16cid:durableId="1476147360">
    <w:abstractNumId w:val="10"/>
  </w:num>
  <w:num w:numId="6" w16cid:durableId="1631743903">
    <w:abstractNumId w:val="14"/>
  </w:num>
  <w:num w:numId="7" w16cid:durableId="1949503302">
    <w:abstractNumId w:val="1"/>
  </w:num>
  <w:num w:numId="8" w16cid:durableId="1902249141">
    <w:abstractNumId w:val="12"/>
  </w:num>
  <w:num w:numId="9" w16cid:durableId="614021573">
    <w:abstractNumId w:val="4"/>
  </w:num>
  <w:num w:numId="10" w16cid:durableId="739451774">
    <w:abstractNumId w:val="21"/>
  </w:num>
  <w:num w:numId="11" w16cid:durableId="965087533">
    <w:abstractNumId w:val="17"/>
  </w:num>
  <w:num w:numId="12" w16cid:durableId="1439057417">
    <w:abstractNumId w:val="13"/>
  </w:num>
  <w:num w:numId="13" w16cid:durableId="496581730">
    <w:abstractNumId w:val="5"/>
  </w:num>
  <w:num w:numId="14" w16cid:durableId="1551070146">
    <w:abstractNumId w:val="24"/>
  </w:num>
  <w:num w:numId="15" w16cid:durableId="991327565">
    <w:abstractNumId w:val="26"/>
  </w:num>
  <w:num w:numId="16" w16cid:durableId="1617591032">
    <w:abstractNumId w:val="11"/>
  </w:num>
  <w:num w:numId="17" w16cid:durableId="2088067787">
    <w:abstractNumId w:val="28"/>
  </w:num>
  <w:num w:numId="18" w16cid:durableId="518205668">
    <w:abstractNumId w:val="18"/>
  </w:num>
  <w:num w:numId="19" w16cid:durableId="2082481222">
    <w:abstractNumId w:val="7"/>
  </w:num>
  <w:num w:numId="20" w16cid:durableId="476655185">
    <w:abstractNumId w:val="25"/>
  </w:num>
  <w:num w:numId="21" w16cid:durableId="1433672970">
    <w:abstractNumId w:val="20"/>
  </w:num>
  <w:num w:numId="22" w16cid:durableId="1576889676">
    <w:abstractNumId w:val="0"/>
  </w:num>
  <w:num w:numId="23" w16cid:durableId="1439837103">
    <w:abstractNumId w:val="3"/>
  </w:num>
  <w:num w:numId="24" w16cid:durableId="288828855">
    <w:abstractNumId w:val="16"/>
  </w:num>
  <w:num w:numId="25" w16cid:durableId="804012160">
    <w:abstractNumId w:val="15"/>
  </w:num>
  <w:num w:numId="26" w16cid:durableId="1958176112">
    <w:abstractNumId w:val="9"/>
  </w:num>
  <w:num w:numId="27" w16cid:durableId="1911307292">
    <w:abstractNumId w:val="23"/>
  </w:num>
  <w:num w:numId="28" w16cid:durableId="898633757">
    <w:abstractNumId w:val="6"/>
  </w:num>
  <w:num w:numId="29" w16cid:durableId="2045328756">
    <w:abstractNumId w:val="29"/>
  </w:num>
  <w:num w:numId="30" w16cid:durableId="19024768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2B"/>
    <w:rsid w:val="0001083E"/>
    <w:rsid w:val="00016376"/>
    <w:rsid w:val="00022985"/>
    <w:rsid w:val="00023A7E"/>
    <w:rsid w:val="00031770"/>
    <w:rsid w:val="00055B88"/>
    <w:rsid w:val="0008703C"/>
    <w:rsid w:val="000B1188"/>
    <w:rsid w:val="000B53BD"/>
    <w:rsid w:val="000D07BC"/>
    <w:rsid w:val="000D692B"/>
    <w:rsid w:val="000E5E4F"/>
    <w:rsid w:val="000F0B57"/>
    <w:rsid w:val="0010745B"/>
    <w:rsid w:val="00117B0E"/>
    <w:rsid w:val="001377CE"/>
    <w:rsid w:val="00152C70"/>
    <w:rsid w:val="00155ECB"/>
    <w:rsid w:val="00162AA8"/>
    <w:rsid w:val="00187DE9"/>
    <w:rsid w:val="001974FF"/>
    <w:rsid w:val="001C5E12"/>
    <w:rsid w:val="001E5094"/>
    <w:rsid w:val="00203A69"/>
    <w:rsid w:val="00223D06"/>
    <w:rsid w:val="00277C67"/>
    <w:rsid w:val="002A77FD"/>
    <w:rsid w:val="002C653B"/>
    <w:rsid w:val="002D0EFB"/>
    <w:rsid w:val="002F73E7"/>
    <w:rsid w:val="00305497"/>
    <w:rsid w:val="0032375C"/>
    <w:rsid w:val="0033747B"/>
    <w:rsid w:val="00350EE8"/>
    <w:rsid w:val="00357A83"/>
    <w:rsid w:val="00375A58"/>
    <w:rsid w:val="003821E9"/>
    <w:rsid w:val="003900EC"/>
    <w:rsid w:val="003A4D0D"/>
    <w:rsid w:val="003A536F"/>
    <w:rsid w:val="003C054D"/>
    <w:rsid w:val="003E64D3"/>
    <w:rsid w:val="003E7925"/>
    <w:rsid w:val="003F1473"/>
    <w:rsid w:val="00417285"/>
    <w:rsid w:val="00425C11"/>
    <w:rsid w:val="004302BD"/>
    <w:rsid w:val="00482EEC"/>
    <w:rsid w:val="004C73D6"/>
    <w:rsid w:val="004D4A20"/>
    <w:rsid w:val="004E67C9"/>
    <w:rsid w:val="004F7A5D"/>
    <w:rsid w:val="00516A06"/>
    <w:rsid w:val="00523EC4"/>
    <w:rsid w:val="0054038D"/>
    <w:rsid w:val="0054514F"/>
    <w:rsid w:val="00545508"/>
    <w:rsid w:val="00573D14"/>
    <w:rsid w:val="005B65A9"/>
    <w:rsid w:val="006644C4"/>
    <w:rsid w:val="006657E1"/>
    <w:rsid w:val="0066647E"/>
    <w:rsid w:val="006679AB"/>
    <w:rsid w:val="006C2B10"/>
    <w:rsid w:val="0076303F"/>
    <w:rsid w:val="00804714"/>
    <w:rsid w:val="008148B2"/>
    <w:rsid w:val="00826004"/>
    <w:rsid w:val="00847841"/>
    <w:rsid w:val="00883D3F"/>
    <w:rsid w:val="008A49F1"/>
    <w:rsid w:val="008A586A"/>
    <w:rsid w:val="008B0716"/>
    <w:rsid w:val="008B447D"/>
    <w:rsid w:val="008C287C"/>
    <w:rsid w:val="008D2566"/>
    <w:rsid w:val="008D3002"/>
    <w:rsid w:val="008F1C90"/>
    <w:rsid w:val="008F72F5"/>
    <w:rsid w:val="00917C54"/>
    <w:rsid w:val="00936225"/>
    <w:rsid w:val="0094638D"/>
    <w:rsid w:val="009A252B"/>
    <w:rsid w:val="009B5688"/>
    <w:rsid w:val="00A57BD6"/>
    <w:rsid w:val="00A74409"/>
    <w:rsid w:val="00A9071B"/>
    <w:rsid w:val="00AA689A"/>
    <w:rsid w:val="00B02571"/>
    <w:rsid w:val="00B4046B"/>
    <w:rsid w:val="00B54797"/>
    <w:rsid w:val="00B63375"/>
    <w:rsid w:val="00BD7AEE"/>
    <w:rsid w:val="00C016CB"/>
    <w:rsid w:val="00C16FA2"/>
    <w:rsid w:val="00C31E12"/>
    <w:rsid w:val="00C32D6C"/>
    <w:rsid w:val="00C75A3F"/>
    <w:rsid w:val="00CD0DC4"/>
    <w:rsid w:val="00CE3D11"/>
    <w:rsid w:val="00D06055"/>
    <w:rsid w:val="00D11A9B"/>
    <w:rsid w:val="00D544C4"/>
    <w:rsid w:val="00D6224D"/>
    <w:rsid w:val="00DB3388"/>
    <w:rsid w:val="00DC37D9"/>
    <w:rsid w:val="00DC5026"/>
    <w:rsid w:val="00DC5D72"/>
    <w:rsid w:val="00E0361B"/>
    <w:rsid w:val="00E3108B"/>
    <w:rsid w:val="00E421AB"/>
    <w:rsid w:val="00E522E6"/>
    <w:rsid w:val="00E61982"/>
    <w:rsid w:val="00E819F1"/>
    <w:rsid w:val="00EC5F81"/>
    <w:rsid w:val="00EE26B4"/>
    <w:rsid w:val="00EF3D67"/>
    <w:rsid w:val="00F0361C"/>
    <w:rsid w:val="00F23E1C"/>
    <w:rsid w:val="00F32C4B"/>
    <w:rsid w:val="00F34D8D"/>
    <w:rsid w:val="00F665B0"/>
    <w:rsid w:val="00FB7B21"/>
    <w:rsid w:val="00FD6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F5D0"/>
  <w15:chartTrackingRefBased/>
  <w15:docId w15:val="{D2EACEA1-4F06-4FE1-A96F-F9973F7F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03A69"/>
    <w:pPr>
      <w:keepNext/>
      <w:spacing w:after="0" w:line="240" w:lineRule="auto"/>
      <w:outlineLvl w:val="0"/>
    </w:pPr>
    <w:rPr>
      <w:rFonts w:ascii="Times New Roman" w:eastAsia="Calibri" w:hAnsi="Times New Roman" w:cs="Times New Roman"/>
      <w:sz w:val="24"/>
      <w:szCs w:val="20"/>
    </w:rPr>
  </w:style>
  <w:style w:type="paragraph" w:styleId="Heading2">
    <w:name w:val="heading 2"/>
    <w:basedOn w:val="Normal"/>
    <w:next w:val="Normal"/>
    <w:link w:val="Heading2Char"/>
    <w:qFormat/>
    <w:rsid w:val="000E5E4F"/>
    <w:pPr>
      <w:keepNext/>
      <w:numPr>
        <w:numId w:val="19"/>
      </w:numPr>
      <w:tabs>
        <w:tab w:val="clear" w:pos="720"/>
      </w:tabs>
      <w:spacing w:after="0" w:line="240" w:lineRule="auto"/>
      <w:ind w:left="567" w:hanging="511"/>
      <w:outlineLvl w:val="1"/>
    </w:pPr>
    <w:rPr>
      <w:rFonts w:ascii="Arial" w:eastAsia="Times New Roman" w:hAnsi="Arial" w:cs="Times New Roman"/>
      <w:sz w:val="24"/>
      <w:szCs w:val="24"/>
      <w:lang w:val="en-US"/>
    </w:rPr>
  </w:style>
  <w:style w:type="paragraph" w:styleId="Heading4">
    <w:name w:val="heading 4"/>
    <w:basedOn w:val="Normal"/>
    <w:next w:val="Normal"/>
    <w:link w:val="Heading4Char"/>
    <w:uiPriority w:val="9"/>
    <w:semiHidden/>
    <w:unhideWhenUsed/>
    <w:qFormat/>
    <w:rsid w:val="0010745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E5E4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025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C37D9"/>
    <w:pPr>
      <w:ind w:left="720"/>
      <w:contextualSpacing/>
    </w:pPr>
  </w:style>
  <w:style w:type="table" w:styleId="TableGrid">
    <w:name w:val="Table Grid"/>
    <w:basedOn w:val="TableNormal"/>
    <w:uiPriority w:val="39"/>
    <w:rsid w:val="00804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6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055"/>
  </w:style>
  <w:style w:type="paragraph" w:styleId="Footer">
    <w:name w:val="footer"/>
    <w:basedOn w:val="Normal"/>
    <w:link w:val="FooterChar"/>
    <w:unhideWhenUsed/>
    <w:rsid w:val="00D06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055"/>
  </w:style>
  <w:style w:type="character" w:customStyle="1" w:styleId="Heading1Char">
    <w:name w:val="Heading 1 Char"/>
    <w:basedOn w:val="DefaultParagraphFont"/>
    <w:link w:val="Heading1"/>
    <w:rsid w:val="00203A69"/>
    <w:rPr>
      <w:rFonts w:ascii="Times New Roman" w:eastAsia="Calibri" w:hAnsi="Times New Roman" w:cs="Times New Roman"/>
      <w:sz w:val="24"/>
      <w:szCs w:val="20"/>
    </w:rPr>
  </w:style>
  <w:style w:type="character" w:customStyle="1" w:styleId="Heading5Char">
    <w:name w:val="Heading 5 Char"/>
    <w:basedOn w:val="DefaultParagraphFont"/>
    <w:link w:val="Heading5"/>
    <w:uiPriority w:val="9"/>
    <w:semiHidden/>
    <w:rsid w:val="000E5E4F"/>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rsid w:val="000E5E4F"/>
    <w:rPr>
      <w:rFonts w:ascii="Arial" w:eastAsia="Times New Roman" w:hAnsi="Arial" w:cs="Times New Roman"/>
      <w:sz w:val="24"/>
      <w:szCs w:val="24"/>
      <w:lang w:val="en-US"/>
    </w:rPr>
  </w:style>
  <w:style w:type="paragraph" w:customStyle="1" w:styleId="Paragraph">
    <w:name w:val="Paragraph"/>
    <w:basedOn w:val="Normal"/>
    <w:rsid w:val="000E5E4F"/>
    <w:pPr>
      <w:spacing w:before="120" w:after="120" w:line="240" w:lineRule="auto"/>
      <w:jc w:val="both"/>
    </w:pPr>
    <w:rPr>
      <w:rFonts w:ascii="Times New Roman" w:eastAsia="Times New Roman" w:hAnsi="Times New Roman" w:cs="Times New Roman"/>
      <w:lang w:val="en-US"/>
    </w:rPr>
  </w:style>
  <w:style w:type="paragraph" w:styleId="ListBullet">
    <w:name w:val="List Bullet"/>
    <w:basedOn w:val="Normal"/>
    <w:autoRedefine/>
    <w:rsid w:val="000E5E4F"/>
    <w:pPr>
      <w:spacing w:before="240" w:after="240" w:line="240" w:lineRule="auto"/>
    </w:pPr>
    <w:rPr>
      <w:rFonts w:ascii="Arial" w:eastAsia="Times New Roman" w:hAnsi="Arial" w:cs="Times New Roman"/>
      <w:b/>
      <w:bCs/>
      <w:i/>
      <w:sz w:val="28"/>
      <w:lang w:val="en-US"/>
    </w:rPr>
  </w:style>
  <w:style w:type="paragraph" w:customStyle="1" w:styleId="aaa2">
    <w:name w:val="aaa2"/>
    <w:basedOn w:val="Normal"/>
    <w:next w:val="Paragraph"/>
    <w:rsid w:val="000E5E4F"/>
    <w:pPr>
      <w:spacing w:after="0" w:line="240" w:lineRule="auto"/>
    </w:pPr>
    <w:rPr>
      <w:rFonts w:ascii="Times New Roman" w:eastAsia="Times New Roman" w:hAnsi="Times New Roman" w:cs="Times New Roman"/>
      <w:b/>
      <w:bCs/>
      <w:lang w:val="en-US"/>
    </w:rPr>
  </w:style>
  <w:style w:type="character" w:customStyle="1" w:styleId="main1">
    <w:name w:val="main1"/>
    <w:rsid w:val="000E5E4F"/>
    <w:rPr>
      <w:rFonts w:ascii="Arial" w:hAnsi="Arial" w:cs="Arial" w:hint="default"/>
      <w:b w:val="0"/>
      <w:bCs w:val="0"/>
      <w:i w:val="0"/>
      <w:iCs w:val="0"/>
      <w:strike w:val="0"/>
      <w:dstrike w:val="0"/>
      <w:color w:val="000000"/>
      <w:sz w:val="24"/>
      <w:szCs w:val="24"/>
      <w:u w:val="none"/>
      <w:effect w:val="none"/>
    </w:rPr>
  </w:style>
  <w:style w:type="paragraph" w:styleId="BodyText">
    <w:name w:val="Body Text"/>
    <w:basedOn w:val="Normal"/>
    <w:link w:val="BodyTextChar"/>
    <w:rsid w:val="000E5E4F"/>
    <w:pPr>
      <w:spacing w:after="0" w:line="240" w:lineRule="auto"/>
    </w:pPr>
    <w:rPr>
      <w:rFonts w:ascii="Arial" w:eastAsia="Times New Roman" w:hAnsi="Arial" w:cs="Times New Roman"/>
      <w:szCs w:val="24"/>
      <w:lang w:val="en-US"/>
    </w:rPr>
  </w:style>
  <w:style w:type="character" w:customStyle="1" w:styleId="BodyTextChar">
    <w:name w:val="Body Text Char"/>
    <w:basedOn w:val="DefaultParagraphFont"/>
    <w:link w:val="BodyText"/>
    <w:rsid w:val="000E5E4F"/>
    <w:rPr>
      <w:rFonts w:ascii="Arial" w:eastAsia="Times New Roman" w:hAnsi="Arial" w:cs="Times New Roman"/>
      <w:szCs w:val="24"/>
      <w:lang w:val="en-US"/>
    </w:rPr>
  </w:style>
  <w:style w:type="paragraph" w:customStyle="1" w:styleId="Normalreplace">
    <w:name w:val="Normal replace"/>
    <w:basedOn w:val="Normal"/>
    <w:rsid w:val="000E5E4F"/>
    <w:pPr>
      <w:spacing w:after="0" w:line="240" w:lineRule="auto"/>
    </w:pPr>
    <w:rPr>
      <w:rFonts w:ascii="Arial" w:eastAsia="Times New Roman" w:hAnsi="Arial" w:cs="Arial"/>
      <w:color w:val="FF9900"/>
      <w:sz w:val="24"/>
      <w:szCs w:val="24"/>
    </w:rPr>
  </w:style>
  <w:style w:type="table" w:styleId="MediumList2-Accent5">
    <w:name w:val="Medium List 2 Accent 5"/>
    <w:basedOn w:val="TableNormal"/>
    <w:uiPriority w:val="66"/>
    <w:rsid w:val="001377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4Char">
    <w:name w:val="Heading 4 Char"/>
    <w:basedOn w:val="DefaultParagraphFont"/>
    <w:link w:val="Heading4"/>
    <w:uiPriority w:val="9"/>
    <w:semiHidden/>
    <w:rsid w:val="0010745B"/>
    <w:rPr>
      <w:rFonts w:asciiTheme="majorHAnsi" w:eastAsiaTheme="majorEastAsia" w:hAnsiTheme="majorHAnsi" w:cstheme="majorBidi"/>
      <w:i/>
      <w:iCs/>
      <w:color w:val="2E74B5" w:themeColor="accent1" w:themeShade="BF"/>
    </w:rPr>
  </w:style>
  <w:style w:type="character" w:customStyle="1" w:styleId="Bodytext2">
    <w:name w:val="Body text (2)"/>
    <w:basedOn w:val="DefaultParagraphFont"/>
    <w:rsid w:val="0010745B"/>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295pt">
    <w:name w:val="Body text (2) + 9.5 pt"/>
    <w:aliases w:val="Bold"/>
    <w:basedOn w:val="DefaultParagraphFont"/>
    <w:rsid w:val="0010745B"/>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Heading6Char">
    <w:name w:val="Heading 6 Char"/>
    <w:basedOn w:val="DefaultParagraphFont"/>
    <w:link w:val="Heading6"/>
    <w:uiPriority w:val="9"/>
    <w:semiHidden/>
    <w:rsid w:val="00B02571"/>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90FFB-9CC5-46B4-AF6F-BEA5AE0F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parishclerk Draughton</dc:creator>
  <cp:keywords/>
  <dc:description/>
  <cp:lastModifiedBy>parishclerk Draughton</cp:lastModifiedBy>
  <cp:revision>62</cp:revision>
  <dcterms:created xsi:type="dcterms:W3CDTF">2022-10-31T11:28:00Z</dcterms:created>
  <dcterms:modified xsi:type="dcterms:W3CDTF">2022-10-31T13:16:00Z</dcterms:modified>
</cp:coreProperties>
</file>